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B" w:rsidRPr="008E1710" w:rsidRDefault="007809BB" w:rsidP="006F215F">
      <w:pPr>
        <w:jc w:val="center"/>
        <w:rPr>
          <w:b/>
        </w:rPr>
      </w:pPr>
      <w:r w:rsidRPr="008E1710">
        <w:rPr>
          <w:b/>
        </w:rPr>
        <w:t>ПРОТОКОЛ</w:t>
      </w:r>
    </w:p>
    <w:p w:rsidR="007809BB" w:rsidRDefault="007809BB" w:rsidP="005C4B98">
      <w:pPr>
        <w:jc w:val="center"/>
        <w:rPr>
          <w:b/>
        </w:rPr>
      </w:pPr>
      <w:r w:rsidRPr="008E1710">
        <w:rPr>
          <w:b/>
        </w:rPr>
        <w:t>вскрытия конвертов с заявками</w:t>
      </w:r>
      <w:r>
        <w:rPr>
          <w:b/>
        </w:rPr>
        <w:t xml:space="preserve"> </w:t>
      </w:r>
      <w:r w:rsidRPr="008E1710">
        <w:rPr>
          <w:b/>
        </w:rPr>
        <w:t>на участие в</w:t>
      </w:r>
      <w:r>
        <w:rPr>
          <w:b/>
        </w:rPr>
        <w:t xml:space="preserve"> открытом</w:t>
      </w:r>
      <w:r w:rsidRPr="008E1710">
        <w:rPr>
          <w:b/>
        </w:rPr>
        <w:t xml:space="preserve"> </w:t>
      </w:r>
      <w:r>
        <w:rPr>
          <w:b/>
        </w:rPr>
        <w:t>запросе цен</w:t>
      </w:r>
      <w:r w:rsidRPr="008E1710">
        <w:rPr>
          <w:b/>
        </w:rPr>
        <w:t xml:space="preserve"> </w:t>
      </w:r>
    </w:p>
    <w:p w:rsidR="007809BB" w:rsidRPr="00EB45E3" w:rsidRDefault="007809BB" w:rsidP="005C4B98">
      <w:pPr>
        <w:jc w:val="center"/>
        <w:rPr>
          <w:b/>
        </w:rPr>
      </w:pPr>
      <w:r>
        <w:rPr>
          <w:b/>
        </w:rPr>
        <w:t>на поставку деталей насосов гидроперегружателей и землесоса ПЗС-500.16</w:t>
      </w:r>
    </w:p>
    <w:p w:rsidR="007809BB" w:rsidRPr="00FC3903" w:rsidRDefault="007809BB" w:rsidP="006F215F">
      <w:pPr>
        <w:rPr>
          <w:sz w:val="18"/>
          <w:szCs w:val="18"/>
        </w:rPr>
      </w:pPr>
      <w:r>
        <w:t xml:space="preserve"> </w:t>
      </w:r>
    </w:p>
    <w:p w:rsidR="007809BB" w:rsidRDefault="007809BB" w:rsidP="006F215F">
      <w:r>
        <w:t xml:space="preserve">Чувашская Республика, </w:t>
      </w:r>
    </w:p>
    <w:p w:rsidR="007809BB" w:rsidRDefault="007809BB" w:rsidP="006F215F">
      <w:r>
        <w:t xml:space="preserve">г. Чебоксары                                                                                                                   «01»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809BB" w:rsidRPr="00E10B27" w:rsidRDefault="007809BB" w:rsidP="006F215F">
      <w:pPr>
        <w:rPr>
          <w:sz w:val="12"/>
          <w:szCs w:val="12"/>
        </w:rPr>
      </w:pPr>
    </w:p>
    <w:p w:rsidR="007809BB" w:rsidRDefault="007809BB" w:rsidP="006F215F">
      <w:pPr>
        <w:rPr>
          <w:b/>
        </w:rPr>
      </w:pPr>
      <w:r>
        <w:rPr>
          <w:b/>
        </w:rPr>
        <w:t xml:space="preserve">             </w:t>
      </w:r>
      <w:r w:rsidRPr="00EB45E3">
        <w:rPr>
          <w:b/>
        </w:rPr>
        <w:t xml:space="preserve">1. Общие сведения о </w:t>
      </w:r>
      <w:r>
        <w:rPr>
          <w:b/>
        </w:rPr>
        <w:t>запросе цен</w:t>
      </w:r>
    </w:p>
    <w:p w:rsidR="007809BB" w:rsidRPr="00C4289D" w:rsidRDefault="007809BB" w:rsidP="00C4289D">
      <w:pPr>
        <w:jc w:val="both"/>
      </w:pPr>
      <w:r w:rsidRPr="00C4289D">
        <w:t>1.1</w:t>
      </w:r>
      <w:r>
        <w:t>.</w:t>
      </w:r>
      <w:r w:rsidRPr="00C4289D">
        <w:t xml:space="preserve"> Наименование предмета </w:t>
      </w:r>
      <w:r>
        <w:t>открытого запроса цен - поставка деталей насосов гидроперегружателей и землесоса ПЗС-500.16.</w:t>
      </w:r>
      <w:r w:rsidRPr="00C4289D">
        <w:t xml:space="preserve"> </w:t>
      </w:r>
    </w:p>
    <w:p w:rsidR="007809BB" w:rsidRPr="00366FE4" w:rsidRDefault="007809BB" w:rsidP="00C4289D">
      <w:pPr>
        <w:jc w:val="both"/>
        <w:rPr>
          <w:spacing w:val="-20"/>
        </w:rPr>
      </w:pPr>
      <w:r>
        <w:t xml:space="preserve">1.2. Начальная (максимальная) цена договора – </w:t>
      </w:r>
      <w:r w:rsidRPr="00366FE4">
        <w:rPr>
          <w:spacing w:val="-20"/>
        </w:rPr>
        <w:t xml:space="preserve">1 200 000 </w:t>
      </w:r>
      <w:r w:rsidRPr="00E10B27">
        <w:t xml:space="preserve">(один миллион двести тысяч) </w:t>
      </w:r>
      <w:r w:rsidRPr="00366FE4">
        <w:rPr>
          <w:spacing w:val="-20"/>
        </w:rPr>
        <w:t>рублей 00 копеек.</w:t>
      </w:r>
    </w:p>
    <w:p w:rsidR="007809BB" w:rsidRDefault="007809BB" w:rsidP="00C4289D">
      <w:pPr>
        <w:jc w:val="both"/>
      </w:pPr>
      <w:r>
        <w:t>1.3. Заказчик по запросу цен - Открытое акционерное общество "Чебоксарский речной порт".</w:t>
      </w:r>
    </w:p>
    <w:p w:rsidR="007809BB" w:rsidRDefault="007809BB" w:rsidP="00C4289D">
      <w:pPr>
        <w:jc w:val="both"/>
      </w:pPr>
      <w:r>
        <w:t xml:space="preserve">Место нахождения и почтовый адрес заказчика запроса цен: </w:t>
      </w:r>
      <w:smartTag w:uri="urn:schemas-microsoft-com:office:smarttags" w:element="metricconverter">
        <w:smartTagPr>
          <w:attr w:name="ProductID" w:val="428008, г"/>
        </w:smartTagPr>
        <w:r>
          <w:t>428008, г</w:t>
        </w:r>
      </w:smartTag>
      <w:r>
        <w:t>. Чебоксары, пл. Речников, д.5.</w:t>
      </w:r>
    </w:p>
    <w:p w:rsidR="007809BB" w:rsidRPr="007D476F" w:rsidRDefault="007809BB" w:rsidP="006F215F">
      <w:pPr>
        <w:jc w:val="both"/>
      </w:pPr>
      <w:r>
        <w:t xml:space="preserve">1.4. Документация о проведении запроса цен размещена на официальном сайте </w:t>
      </w:r>
      <w:r w:rsidRPr="005C4B98">
        <w:rPr>
          <w:color w:val="0000FF"/>
          <w:u w:val="single"/>
          <w:lang w:val="en-US"/>
        </w:rPr>
        <w:t>www</w:t>
      </w:r>
      <w:r w:rsidRPr="005C4B98">
        <w:rPr>
          <w:color w:val="0000FF"/>
          <w:u w:val="single"/>
        </w:rPr>
        <w:t>.</w:t>
      </w:r>
      <w:r w:rsidRPr="005C4B98">
        <w:rPr>
          <w:color w:val="0000FF"/>
          <w:u w:val="single"/>
          <w:lang w:val="en-US"/>
        </w:rPr>
        <w:t>zakupki</w:t>
      </w:r>
      <w:r w:rsidRPr="005C4B98">
        <w:rPr>
          <w:color w:val="0000FF"/>
          <w:u w:val="single"/>
        </w:rPr>
        <w:t>.</w:t>
      </w:r>
      <w:r w:rsidRPr="005C4B98">
        <w:rPr>
          <w:color w:val="0000FF"/>
          <w:u w:val="single"/>
          <w:lang w:val="en-US"/>
        </w:rPr>
        <w:t>gov</w:t>
      </w:r>
      <w:r w:rsidRPr="005C4B98">
        <w:rPr>
          <w:color w:val="0000FF"/>
          <w:u w:val="single"/>
        </w:rPr>
        <w:t>.</w:t>
      </w:r>
      <w:r w:rsidRPr="005C4B98">
        <w:rPr>
          <w:color w:val="0000FF"/>
          <w:u w:val="single"/>
          <w:lang w:val="en-US"/>
        </w:rPr>
        <w:t>ru</w:t>
      </w:r>
      <w:r w:rsidRPr="00984F6D">
        <w:t xml:space="preserve"> </w:t>
      </w:r>
      <w:r>
        <w:t xml:space="preserve">и сайте ОАО «Чебоксарский речной порт» </w:t>
      </w:r>
      <w:hyperlink r:id="rId6" w:history="1">
        <w:r w:rsidRPr="004E26E1">
          <w:rPr>
            <w:rStyle w:val="Hyperlink"/>
            <w:lang w:val="en-US"/>
          </w:rPr>
          <w:t>www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chport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ru</w:t>
        </w:r>
      </w:hyperlink>
      <w:r>
        <w:t xml:space="preserve"> в соответствии с текстом документации, утвержденной генеральным директором ОАО «Чебоксарский речной порт»  «24»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7809BB" w:rsidRDefault="007809BB" w:rsidP="006F215F">
      <w:pPr>
        <w:jc w:val="both"/>
      </w:pPr>
      <w:r>
        <w:t xml:space="preserve">1.4. Состав закупочной комиссии определен приказом генерального директора ОАО "Чебоксарский речной порт" от «12» сентября </w:t>
      </w:r>
      <w:smartTag w:uri="urn:schemas-microsoft-com:office:smarttags" w:element="metricconverter">
        <w:smartTagPr>
          <w:attr w:name="ProductID" w:val="2012 г"/>
        </w:smartTagPr>
        <w:r>
          <w:t xml:space="preserve">2012 </w:t>
        </w:r>
        <w:r w:rsidRPr="00A3457D">
          <w:t>г</w:t>
        </w:r>
      </w:smartTag>
      <w:r>
        <w:t>.</w:t>
      </w:r>
      <w:r w:rsidRPr="00A3457D">
        <w:t xml:space="preserve"> № </w:t>
      </w:r>
      <w:r>
        <w:t>189</w:t>
      </w:r>
      <w:r w:rsidRPr="00A3457D">
        <w:t xml:space="preserve">  в</w:t>
      </w:r>
      <w:r>
        <w:t xml:space="preserve"> количестве 7 (семи) человек.</w:t>
      </w:r>
    </w:p>
    <w:p w:rsidR="007809BB" w:rsidRDefault="007809BB" w:rsidP="006F215F">
      <w:pPr>
        <w:jc w:val="both"/>
      </w:pPr>
      <w:r>
        <w:t xml:space="preserve">              На заседании закупочной комиссии по рассмотрению заявок на участие в запросе цен присутствовали:</w:t>
      </w:r>
    </w:p>
    <w:p w:rsidR="007809BB" w:rsidRPr="00BC4C40" w:rsidRDefault="007809BB" w:rsidP="005A3813">
      <w:pPr>
        <w:jc w:val="both"/>
      </w:pPr>
      <w:r>
        <w:t xml:space="preserve">              </w:t>
      </w:r>
      <w:r w:rsidRPr="00BC4C40">
        <w:t xml:space="preserve">Председатель </w:t>
      </w:r>
      <w:r>
        <w:t xml:space="preserve">закупочной </w:t>
      </w:r>
      <w:r w:rsidRPr="00BC4C40">
        <w:t xml:space="preserve">комиссии: Павлова Оксана Николаевна (заместитель генерального директора по экономике и финансам </w:t>
      </w:r>
      <w:r>
        <w:t>ОАО «Чебоксарский речной порт»).</w:t>
      </w:r>
    </w:p>
    <w:p w:rsidR="007809BB" w:rsidRPr="00121F43" w:rsidRDefault="007809BB" w:rsidP="005A3813">
      <w:pPr>
        <w:jc w:val="both"/>
      </w:pPr>
      <w:r>
        <w:t xml:space="preserve">              Члены закупочной комиссии: Денисов Анатолий Николаевич (заместитель генерального директора по техническому развитию ОАО «Чебоксарский речной порт» – заместитель председателя комиссии)</w:t>
      </w:r>
      <w:r w:rsidRPr="00BC4C40">
        <w:t xml:space="preserve">, </w:t>
      </w:r>
      <w:r>
        <w:t>Козлов Анатолий Николаевич (заместитель генерального директора по производству ОАО «Чебоксарский речной порт»)</w:t>
      </w:r>
      <w:r w:rsidRPr="00BC4C40">
        <w:t>,</w:t>
      </w:r>
      <w:r>
        <w:t xml:space="preserve"> Блинова Анжелика </w:t>
      </w:r>
      <w:r w:rsidRPr="00BC4C40">
        <w:t>Валентиновна (начальник юридической с</w:t>
      </w:r>
      <w:r w:rsidRPr="00121F43">
        <w:t>лужбы ОАО «Чебоксарский речной порт»</w:t>
      </w:r>
      <w:r>
        <w:t>), Шилова Татьяна Николаевна (главный экономист                        ОАО «Чебоксарский речной порт»), Анисимов Николай Владимирович (ведущий специалист по материально-техническому снабжению ОАО «Чебоксарский речной порт»),</w:t>
      </w:r>
      <w:r w:rsidRPr="00BC4C40">
        <w:t xml:space="preserve"> </w:t>
      </w:r>
      <w:r>
        <w:t>Попова Светлана Алексеевна (специалист по организации и проведению конкурсов (торгов) ОАО «Чебоксарский речной порт» - секретарь комиссии).</w:t>
      </w:r>
    </w:p>
    <w:p w:rsidR="007809BB" w:rsidRDefault="007809BB" w:rsidP="005A3813">
      <w:pPr>
        <w:jc w:val="both"/>
        <w:rPr>
          <w:bCs/>
        </w:rPr>
      </w:pPr>
      <w:r>
        <w:t xml:space="preserve">              В состав закупочной комиссии входит 7 членов. Заседание проводится в присутствии 7 (семи) членов комиссии. Кворум имеется. Комиссия правомочна.</w:t>
      </w:r>
      <w:r>
        <w:rPr>
          <w:bCs/>
        </w:rPr>
        <w:t> </w:t>
      </w:r>
    </w:p>
    <w:p w:rsidR="007809BB" w:rsidRDefault="007809BB" w:rsidP="006F215F">
      <w:pPr>
        <w:jc w:val="both"/>
      </w:pPr>
      <w:r>
        <w:t xml:space="preserve">              Число членов закупочной комиссии, принимающих участие в заседании, соответствует определенному, утвержденного приказом генерального директора ОАО «Чебоксарский речной порт» от «12» сентября 2012г. </w:t>
      </w:r>
      <w:r w:rsidRPr="00A8268A">
        <w:t>№</w:t>
      </w:r>
      <w:r>
        <w:t xml:space="preserve"> 189, количественному составу закупочной комиссии, необходимому для проведения заседания.</w:t>
      </w:r>
    </w:p>
    <w:p w:rsidR="007809BB" w:rsidRDefault="007809BB" w:rsidP="006F215F">
      <w:pPr>
        <w:jc w:val="both"/>
      </w:pPr>
      <w:r>
        <w:t xml:space="preserve">              Кворум для проведения заседания закупочной комиссии имеется, комиссия правомочна.</w:t>
      </w:r>
    </w:p>
    <w:p w:rsidR="007809BB" w:rsidRPr="00E10B27" w:rsidRDefault="007809BB" w:rsidP="006F215F">
      <w:pPr>
        <w:jc w:val="both"/>
        <w:rPr>
          <w:sz w:val="8"/>
          <w:szCs w:val="8"/>
        </w:rPr>
      </w:pPr>
      <w:r>
        <w:t xml:space="preserve"> </w:t>
      </w:r>
    </w:p>
    <w:p w:rsidR="007809BB" w:rsidRDefault="007809BB" w:rsidP="006F215F">
      <w:pPr>
        <w:jc w:val="both"/>
        <w:rPr>
          <w:b/>
        </w:rPr>
      </w:pPr>
      <w:r w:rsidRPr="008E1710">
        <w:rPr>
          <w:b/>
        </w:rPr>
        <w:t xml:space="preserve">2. Место, дата, время начала проведения процедуры вскрытия конвертов с заявками на участие в </w:t>
      </w:r>
      <w:r>
        <w:rPr>
          <w:b/>
        </w:rPr>
        <w:t>запросе цен</w:t>
      </w:r>
    </w:p>
    <w:p w:rsidR="007809BB" w:rsidRPr="00E10B27" w:rsidRDefault="007809BB" w:rsidP="006F215F">
      <w:pPr>
        <w:jc w:val="both"/>
        <w:rPr>
          <w:sz w:val="8"/>
          <w:szCs w:val="8"/>
        </w:rPr>
      </w:pPr>
      <w:r>
        <w:t xml:space="preserve">2.1. Процедура вскрытия конвертов с заявками на участие в запросе цен проводилась                      «01»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в 10 час. 00 мин. (МСК) по адресу: г.Чебоксары, пл. Речников, д.5, каб. 212.</w:t>
      </w:r>
    </w:p>
    <w:p w:rsidR="007809BB" w:rsidRPr="00E10B27" w:rsidRDefault="007809BB" w:rsidP="006F215F">
      <w:pPr>
        <w:jc w:val="both"/>
        <w:rPr>
          <w:b/>
          <w:sz w:val="8"/>
          <w:szCs w:val="8"/>
        </w:rPr>
      </w:pPr>
    </w:p>
    <w:p w:rsidR="007809BB" w:rsidRPr="00775245" w:rsidRDefault="007809BB" w:rsidP="006F215F">
      <w:pPr>
        <w:jc w:val="both"/>
        <w:rPr>
          <w:b/>
        </w:rPr>
      </w:pPr>
      <w:r w:rsidRPr="00775245">
        <w:rPr>
          <w:b/>
        </w:rPr>
        <w:t>3. Присутствие представител</w:t>
      </w:r>
      <w:r>
        <w:rPr>
          <w:b/>
        </w:rPr>
        <w:t>ей участников закупки</w:t>
      </w:r>
    </w:p>
    <w:p w:rsidR="007809BB" w:rsidRDefault="007809BB" w:rsidP="006F215F">
      <w:pPr>
        <w:jc w:val="both"/>
      </w:pPr>
      <w:r w:rsidRPr="00775245">
        <w:t>3.1</w:t>
      </w:r>
      <w:r>
        <w:t>.</w:t>
      </w:r>
      <w:r w:rsidRPr="00775245">
        <w:t xml:space="preserve"> На процедуре вскрытия конвертов с заявками на участие в </w:t>
      </w:r>
      <w:r>
        <w:t>запросе цен присутствовали представители двух</w:t>
      </w:r>
      <w:r w:rsidRPr="00775245">
        <w:t xml:space="preserve"> </w:t>
      </w:r>
      <w:r>
        <w:t>участников закупки.</w:t>
      </w:r>
    </w:p>
    <w:p w:rsidR="007809BB" w:rsidRPr="00E10B27" w:rsidRDefault="007809BB" w:rsidP="006F215F">
      <w:pPr>
        <w:jc w:val="both"/>
        <w:rPr>
          <w:sz w:val="8"/>
          <w:szCs w:val="8"/>
        </w:rPr>
      </w:pPr>
    </w:p>
    <w:p w:rsidR="007809BB" w:rsidRDefault="007809BB" w:rsidP="006F215F">
      <w:pPr>
        <w:jc w:val="both"/>
        <w:rPr>
          <w:b/>
        </w:rPr>
      </w:pPr>
      <w:r w:rsidRPr="008E1710">
        <w:rPr>
          <w:b/>
        </w:rPr>
        <w:t xml:space="preserve">4. </w:t>
      </w:r>
      <w:r>
        <w:rPr>
          <w:b/>
        </w:rPr>
        <w:t>Сведения о процедуре</w:t>
      </w:r>
      <w:r w:rsidRPr="008E1710">
        <w:rPr>
          <w:b/>
        </w:rPr>
        <w:t xml:space="preserve"> </w:t>
      </w:r>
      <w:r>
        <w:rPr>
          <w:b/>
        </w:rPr>
        <w:t>подаче заявок</w:t>
      </w:r>
      <w:r w:rsidRPr="008E1710">
        <w:rPr>
          <w:b/>
        </w:rPr>
        <w:t xml:space="preserve"> на участие в </w:t>
      </w:r>
      <w:r>
        <w:rPr>
          <w:b/>
        </w:rPr>
        <w:t>запросе цен</w:t>
      </w:r>
    </w:p>
    <w:p w:rsidR="007809BB" w:rsidRDefault="007809BB" w:rsidP="00BC7D80">
      <w:pPr>
        <w:autoSpaceDE w:val="0"/>
        <w:autoSpaceDN w:val="0"/>
        <w:adjustRightInd w:val="0"/>
        <w:jc w:val="both"/>
        <w:outlineLvl w:val="1"/>
      </w:pPr>
      <w:r>
        <w:t xml:space="preserve">4.1. </w:t>
      </w:r>
      <w:r w:rsidRPr="00775245">
        <w:t>До окончания установленного срока подачи был</w:t>
      </w:r>
      <w:r>
        <w:t>о</w:t>
      </w:r>
      <w:r w:rsidRPr="00775245">
        <w:t xml:space="preserve"> представлен</w:t>
      </w:r>
      <w:r>
        <w:t>о</w:t>
      </w:r>
      <w:r w:rsidRPr="00775245">
        <w:t xml:space="preserve"> </w:t>
      </w:r>
      <w:r>
        <w:t>3</w:t>
      </w:r>
      <w:r w:rsidRPr="00775245">
        <w:t xml:space="preserve"> (</w:t>
      </w:r>
      <w:r>
        <w:t>три) запечатанных</w:t>
      </w:r>
      <w:r w:rsidRPr="00775245">
        <w:t xml:space="preserve"> конверт</w:t>
      </w:r>
      <w:r>
        <w:t>а с заявками</w:t>
      </w:r>
      <w:r w:rsidRPr="00775245">
        <w:t xml:space="preserve"> на участие в </w:t>
      </w:r>
      <w:r>
        <w:t>запросе цен</w:t>
      </w:r>
      <w:r w:rsidRPr="00775245">
        <w:t xml:space="preserve">. </w:t>
      </w:r>
    </w:p>
    <w:p w:rsidR="007809BB" w:rsidRDefault="007809BB" w:rsidP="006F215F">
      <w:pPr>
        <w:jc w:val="both"/>
      </w:pPr>
      <w:r>
        <w:t xml:space="preserve">4.2. Прием заявок отражен в журнале регистрации заявок на участие в запросе цен. </w:t>
      </w:r>
    </w:p>
    <w:p w:rsidR="007809BB" w:rsidRDefault="007809BB" w:rsidP="006F215F">
      <w:pPr>
        <w:jc w:val="both"/>
      </w:pPr>
      <w:r>
        <w:t xml:space="preserve">4.3. </w:t>
      </w:r>
      <w:r w:rsidRPr="00775245">
        <w:t xml:space="preserve">Дополнительные заявки на участие, отзывы заявок, изменения заявок на участие в </w:t>
      </w:r>
      <w:r>
        <w:t>запросе цен</w:t>
      </w:r>
      <w:r w:rsidRPr="00775245">
        <w:t xml:space="preserve"> </w:t>
      </w:r>
      <w:r w:rsidRPr="00E10B27">
        <w:t>поданы не были.</w:t>
      </w:r>
    </w:p>
    <w:p w:rsidR="007809BB" w:rsidRDefault="007809BB" w:rsidP="006F215F">
      <w:pPr>
        <w:jc w:val="both"/>
      </w:pPr>
      <w:r>
        <w:t xml:space="preserve">4.4. </w:t>
      </w:r>
      <w:r w:rsidRPr="00775245">
        <w:t xml:space="preserve">Перед началом вскрытия конвертов </w:t>
      </w:r>
      <w:r>
        <w:t>закупочная</w:t>
      </w:r>
      <w:r w:rsidRPr="00775245">
        <w:t xml:space="preserve"> комиссия проверила сохранность конверт</w:t>
      </w:r>
      <w:r>
        <w:t>ов</w:t>
      </w:r>
      <w:r w:rsidRPr="00775245">
        <w:t xml:space="preserve"> с заявками на участие в </w:t>
      </w:r>
      <w:r>
        <w:t>запросе цен</w:t>
      </w:r>
      <w:r w:rsidRPr="00775245">
        <w:t xml:space="preserve"> – сохранность конверт</w:t>
      </w:r>
      <w:r>
        <w:t>ов</w:t>
      </w:r>
      <w:r w:rsidRPr="00775245">
        <w:t xml:space="preserve"> не нарушена.</w:t>
      </w:r>
    </w:p>
    <w:p w:rsidR="007809BB" w:rsidRDefault="007809BB" w:rsidP="006F215F">
      <w:pPr>
        <w:jc w:val="both"/>
      </w:pPr>
      <w:r>
        <w:t>4.5. Вскрытие конвертов с заявками на участие в запросе цен проводилось закупочной комиссией в порядке их поступления согласно журналу регистрации заявок.</w:t>
      </w:r>
    </w:p>
    <w:p w:rsidR="007809BB" w:rsidRPr="00E10B27" w:rsidRDefault="007809BB" w:rsidP="006F215F">
      <w:pPr>
        <w:rPr>
          <w:sz w:val="8"/>
          <w:szCs w:val="8"/>
        </w:rPr>
      </w:pPr>
    </w:p>
    <w:p w:rsidR="007809BB" w:rsidRDefault="007809BB" w:rsidP="00BC7D80">
      <w:pPr>
        <w:jc w:val="both"/>
        <w:rPr>
          <w:b/>
        </w:rPr>
      </w:pPr>
      <w:r w:rsidRPr="008E1710">
        <w:rPr>
          <w:b/>
        </w:rPr>
        <w:t xml:space="preserve">5. Результаты вскрытия конвертов с заявками на участие в </w:t>
      </w:r>
      <w:r>
        <w:rPr>
          <w:b/>
        </w:rPr>
        <w:t>запросе цен</w:t>
      </w:r>
    </w:p>
    <w:p w:rsidR="007809BB" w:rsidRDefault="007809BB" w:rsidP="006F215F">
      <w:pPr>
        <w:jc w:val="both"/>
      </w:pPr>
      <w:r>
        <w:t>5.1. При вскрытии конвертов с заявками были объявлены следующие сведения в отношении заявок на участие в запросе цен и участников закупки:</w:t>
      </w:r>
    </w:p>
    <w:p w:rsidR="007809BB" w:rsidRDefault="007809BB" w:rsidP="006F215F">
      <w:r>
        <w:t xml:space="preserve">5.1.1. Регистрационный номер заявки: №01 </w:t>
      </w:r>
    </w:p>
    <w:p w:rsidR="007809BB" w:rsidRDefault="007809BB" w:rsidP="00BC7D80">
      <w:pPr>
        <w:jc w:val="both"/>
      </w:pPr>
      <w:r>
        <w:t xml:space="preserve">Наименование участника закупки: ЗАО «Завод гидромеханизации» </w:t>
      </w:r>
    </w:p>
    <w:p w:rsidR="007809BB" w:rsidRPr="00CE1944" w:rsidRDefault="007809BB" w:rsidP="00BC7D80">
      <w:pPr>
        <w:jc w:val="both"/>
        <w:rPr>
          <w:spacing w:val="-20"/>
        </w:rPr>
      </w:pPr>
      <w:r w:rsidRPr="00CE1944">
        <w:t>Почтовый адрес участника закупки:</w:t>
      </w:r>
      <w:r w:rsidRPr="00CE1944">
        <w:rPr>
          <w:spacing w:val="-20"/>
        </w:rPr>
        <w:t xml:space="preserve"> 152916, </w:t>
      </w:r>
      <w:r w:rsidRPr="00CE1944">
        <w:t>Ярославская область</w:t>
      </w:r>
      <w:r w:rsidRPr="00CE1944">
        <w:rPr>
          <w:spacing w:val="-20"/>
        </w:rPr>
        <w:t>, г.</w:t>
      </w:r>
      <w:r>
        <w:rPr>
          <w:spacing w:val="-20"/>
        </w:rPr>
        <w:t xml:space="preserve"> </w:t>
      </w:r>
      <w:r w:rsidRPr="00CE1944">
        <w:t>Рыбинск, ул. Суворова,</w:t>
      </w:r>
      <w:r w:rsidRPr="00CE1944">
        <w:rPr>
          <w:spacing w:val="-20"/>
        </w:rPr>
        <w:t xml:space="preserve"> 36.</w:t>
      </w:r>
    </w:p>
    <w:p w:rsidR="007809BB" w:rsidRDefault="007809BB" w:rsidP="00BC7D80">
      <w:pPr>
        <w:jc w:val="both"/>
      </w:pPr>
      <w:r>
        <w:t>Заявка прошита и пронумерована, содержит 67 страниц.</w:t>
      </w:r>
    </w:p>
    <w:p w:rsidR="007809BB" w:rsidRDefault="007809BB" w:rsidP="00BC7D80">
      <w:pPr>
        <w:jc w:val="both"/>
      </w:pPr>
      <w:r>
        <w:t xml:space="preserve">5.1.2. Регистрационный номер заявки: №02 </w:t>
      </w:r>
    </w:p>
    <w:p w:rsidR="007809BB" w:rsidRDefault="007809BB" w:rsidP="00C75912">
      <w:pPr>
        <w:jc w:val="both"/>
      </w:pPr>
      <w:r>
        <w:t xml:space="preserve">Наименование участника закупки: ООО «Метмаш». </w:t>
      </w:r>
    </w:p>
    <w:p w:rsidR="007809BB" w:rsidRDefault="007809BB" w:rsidP="00CE1944">
      <w:r w:rsidRPr="00CE1944">
        <w:t xml:space="preserve">Почтовый адрес участника закупки: </w:t>
      </w:r>
      <w:smartTag w:uri="urn:schemas-microsoft-com:office:smarttags" w:element="metricconverter">
        <w:smartTagPr>
          <w:attr w:name="ProductID" w:val="606440, г"/>
        </w:smartTagPr>
        <w:r w:rsidRPr="00CE1944">
          <w:t>606440, г</w:t>
        </w:r>
      </w:smartTag>
      <w:r w:rsidRPr="00CE1944">
        <w:t>.</w:t>
      </w:r>
      <w:r>
        <w:t xml:space="preserve"> Бор Нижегородской обл., ул.Интернациональная д.37 а/я 90.</w:t>
      </w:r>
    </w:p>
    <w:p w:rsidR="007809BB" w:rsidRDefault="007809BB" w:rsidP="00291611">
      <w:pPr>
        <w:jc w:val="both"/>
      </w:pPr>
      <w:r>
        <w:t>Заявка прошита и пронумерована, содержит 49 страниц.</w:t>
      </w:r>
    </w:p>
    <w:p w:rsidR="007809BB" w:rsidRDefault="007809BB" w:rsidP="00291611">
      <w:pPr>
        <w:jc w:val="both"/>
      </w:pPr>
      <w:r>
        <w:t>5.1.3. Регистрационный номер заявки: №03</w:t>
      </w:r>
    </w:p>
    <w:p w:rsidR="007809BB" w:rsidRDefault="007809BB" w:rsidP="00291611">
      <w:pPr>
        <w:jc w:val="both"/>
      </w:pPr>
      <w:r>
        <w:t>Наименование участника закупки: ООО «НПО Гольфстрим»</w:t>
      </w:r>
    </w:p>
    <w:p w:rsidR="007809BB" w:rsidRDefault="007809BB" w:rsidP="00291611">
      <w:pPr>
        <w:jc w:val="both"/>
        <w:rPr>
          <w:spacing w:val="-20"/>
        </w:rPr>
      </w:pPr>
      <w:r>
        <w:t xml:space="preserve">Почтовый адрес участника закупки: 111141, Россия, г. Москва, </w:t>
      </w:r>
      <w:r w:rsidRPr="00CE1944">
        <w:rPr>
          <w:spacing w:val="-20"/>
        </w:rPr>
        <w:t>ул. Кусковская, дом 20А, оф.А203</w:t>
      </w:r>
    </w:p>
    <w:p w:rsidR="007809BB" w:rsidRPr="00CE1944" w:rsidRDefault="007809BB" w:rsidP="00291611">
      <w:pPr>
        <w:jc w:val="both"/>
      </w:pPr>
      <w:r w:rsidRPr="00CE1944">
        <w:t>Заявка прошита и пронумерована, содержит  34 листа.</w:t>
      </w:r>
    </w:p>
    <w:p w:rsidR="007809BB" w:rsidRPr="00E10B27" w:rsidRDefault="007809BB" w:rsidP="00291611">
      <w:pPr>
        <w:jc w:val="both"/>
        <w:rPr>
          <w:sz w:val="8"/>
          <w:szCs w:val="8"/>
        </w:rPr>
      </w:pPr>
    </w:p>
    <w:p w:rsidR="007809BB" w:rsidRDefault="007809BB" w:rsidP="006F215F">
      <w:r>
        <w:t>Наличие сведений и документов, предусмотренных документацией по запросу цен:</w:t>
      </w:r>
    </w:p>
    <w:tbl>
      <w:tblPr>
        <w:tblStyle w:val="TableGrid"/>
        <w:tblW w:w="9900" w:type="dxa"/>
        <w:tblInd w:w="-72" w:type="dxa"/>
        <w:tblLayout w:type="fixed"/>
        <w:tblLook w:val="01E0"/>
      </w:tblPr>
      <w:tblGrid>
        <w:gridCol w:w="360"/>
        <w:gridCol w:w="4680"/>
        <w:gridCol w:w="720"/>
        <w:gridCol w:w="720"/>
        <w:gridCol w:w="720"/>
        <w:gridCol w:w="900"/>
        <w:gridCol w:w="900"/>
        <w:gridCol w:w="900"/>
      </w:tblGrid>
      <w:tr w:rsidR="007809BB" w:rsidTr="00E10B27">
        <w:tc>
          <w:tcPr>
            <w:tcW w:w="360" w:type="dxa"/>
            <w:vMerge w:val="restart"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693FB6">
              <w:rPr>
                <w:sz w:val="18"/>
                <w:szCs w:val="18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7809BB" w:rsidRPr="00693FB6" w:rsidRDefault="007809BB" w:rsidP="00754F15">
            <w:pPr>
              <w:jc w:val="center"/>
              <w:rPr>
                <w:sz w:val="18"/>
                <w:szCs w:val="18"/>
              </w:rPr>
            </w:pPr>
            <w:r w:rsidRPr="00693FB6">
              <w:rPr>
                <w:sz w:val="18"/>
                <w:szCs w:val="18"/>
              </w:rPr>
              <w:t>Наименование сведений и документов</w:t>
            </w:r>
          </w:p>
        </w:tc>
        <w:tc>
          <w:tcPr>
            <w:tcW w:w="2160" w:type="dxa"/>
            <w:gridSpan w:val="3"/>
            <w:vAlign w:val="center"/>
          </w:tcPr>
          <w:p w:rsidR="007809BB" w:rsidRPr="00693FB6" w:rsidRDefault="007809BB" w:rsidP="00754F15">
            <w:pPr>
              <w:jc w:val="center"/>
              <w:rPr>
                <w:sz w:val="18"/>
                <w:szCs w:val="18"/>
              </w:rPr>
            </w:pPr>
            <w:r w:rsidRPr="00693FB6">
              <w:rPr>
                <w:sz w:val="18"/>
                <w:szCs w:val="18"/>
              </w:rPr>
              <w:t>Наличие их в заявке</w:t>
            </w:r>
          </w:p>
        </w:tc>
        <w:tc>
          <w:tcPr>
            <w:tcW w:w="2700" w:type="dxa"/>
            <w:gridSpan w:val="3"/>
          </w:tcPr>
          <w:p w:rsidR="007809BB" w:rsidRPr="00693FB6" w:rsidRDefault="007809BB" w:rsidP="00754F15">
            <w:pPr>
              <w:jc w:val="center"/>
              <w:rPr>
                <w:sz w:val="18"/>
                <w:szCs w:val="18"/>
              </w:rPr>
            </w:pPr>
            <w:r w:rsidRPr="00693FB6">
              <w:rPr>
                <w:sz w:val="18"/>
                <w:szCs w:val="18"/>
              </w:rPr>
              <w:t>Количество листов в документе</w:t>
            </w:r>
          </w:p>
        </w:tc>
      </w:tr>
      <w:tr w:rsidR="007809BB" w:rsidTr="00E10B27">
        <w:tc>
          <w:tcPr>
            <w:tcW w:w="360" w:type="dxa"/>
            <w:vMerge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7809BB" w:rsidRPr="00693FB6" w:rsidRDefault="007809BB" w:rsidP="00754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№01</w:t>
            </w:r>
          </w:p>
        </w:tc>
        <w:tc>
          <w:tcPr>
            <w:tcW w:w="720" w:type="dxa"/>
            <w:vAlign w:val="center"/>
          </w:tcPr>
          <w:p w:rsidR="007809BB" w:rsidRPr="00693FB6" w:rsidRDefault="007809BB" w:rsidP="00EB0A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№02</w:t>
            </w:r>
          </w:p>
        </w:tc>
        <w:tc>
          <w:tcPr>
            <w:tcW w:w="720" w:type="dxa"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№03</w:t>
            </w:r>
          </w:p>
        </w:tc>
        <w:tc>
          <w:tcPr>
            <w:tcW w:w="900" w:type="dxa"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№01</w:t>
            </w:r>
          </w:p>
        </w:tc>
        <w:tc>
          <w:tcPr>
            <w:tcW w:w="900" w:type="dxa"/>
          </w:tcPr>
          <w:p w:rsidR="007809BB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№02</w:t>
            </w:r>
          </w:p>
        </w:tc>
        <w:tc>
          <w:tcPr>
            <w:tcW w:w="900" w:type="dxa"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№03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693FB6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vAlign w:val="center"/>
          </w:tcPr>
          <w:p w:rsidR="007809BB" w:rsidRPr="00693FB6" w:rsidRDefault="007809BB" w:rsidP="00754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vAlign w:val="center"/>
          </w:tcPr>
          <w:p w:rsidR="007809BB" w:rsidRDefault="007809BB" w:rsidP="00754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закупки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RPr="006421C1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</w:tcPr>
          <w:p w:rsidR="007809BB" w:rsidRPr="00DA7A6C" w:rsidRDefault="007809BB" w:rsidP="00754F15">
            <w:pPr>
              <w:jc w:val="both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 xml:space="preserve">Заявка на участие в </w:t>
            </w:r>
            <w:r>
              <w:rPr>
                <w:sz w:val="18"/>
                <w:szCs w:val="18"/>
              </w:rPr>
              <w:t>запросе цен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809BB" w:rsidRPr="006421C1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80" w:type="dxa"/>
          </w:tcPr>
          <w:p w:rsidR="007809BB" w:rsidRPr="00DA7A6C" w:rsidRDefault="007809BB" w:rsidP="00CB6D30">
            <w:pPr>
              <w:jc w:val="both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 xml:space="preserve">Копии учредительных документов участника </w:t>
            </w: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809BB" w:rsidRPr="006421C1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A7A6C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:rsidR="007809BB" w:rsidRPr="00DA7A6C" w:rsidRDefault="007809BB" w:rsidP="00CB6D30">
            <w:pPr>
              <w:jc w:val="both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Свидетельство о</w:t>
            </w:r>
            <w:r>
              <w:rPr>
                <w:sz w:val="18"/>
                <w:szCs w:val="18"/>
              </w:rPr>
              <w:t xml:space="preserve"> внесении записи в ЕГРЮЛ</w:t>
            </w:r>
            <w:r w:rsidRPr="00DA7A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RPr="006421C1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A7A6C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:rsidR="007809BB" w:rsidRPr="00DA7A6C" w:rsidRDefault="007809BB" w:rsidP="006421C1">
            <w:pPr>
              <w:jc w:val="both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Полученн</w:t>
            </w:r>
            <w:r>
              <w:rPr>
                <w:sz w:val="18"/>
                <w:szCs w:val="18"/>
              </w:rPr>
              <w:t>ая</w:t>
            </w:r>
            <w:r w:rsidRPr="00DA7A6C">
              <w:rPr>
                <w:sz w:val="18"/>
                <w:szCs w:val="18"/>
              </w:rPr>
              <w:t xml:space="preserve"> не ранее чем за шесть месяцев до дня размещения на официальном сайте извещения о проведении запроса цен выписк</w:t>
            </w:r>
            <w:r>
              <w:rPr>
                <w:sz w:val="18"/>
                <w:szCs w:val="18"/>
              </w:rPr>
              <w:t>а</w:t>
            </w:r>
            <w:r w:rsidRPr="00DA7A6C">
              <w:rPr>
                <w:sz w:val="18"/>
                <w:szCs w:val="18"/>
              </w:rPr>
              <w:t xml:space="preserve"> из единого государственного реестра юридических лиц или нотариально заверенную копию такой выписки (для юридических лиц)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A7A6C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:rsidR="007809BB" w:rsidRPr="00DA7A6C" w:rsidRDefault="007809BB" w:rsidP="00CB6D30">
            <w:pPr>
              <w:jc w:val="both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A7A6C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:rsidR="007809BB" w:rsidRPr="00DA7A6C" w:rsidRDefault="007809BB" w:rsidP="00E54873">
            <w:pPr>
              <w:jc w:val="both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 xml:space="preserve">Предложение о функциональных </w:t>
            </w:r>
            <w:r>
              <w:rPr>
                <w:sz w:val="18"/>
                <w:szCs w:val="18"/>
              </w:rPr>
              <w:t xml:space="preserve">и качественных </w:t>
            </w:r>
            <w:r w:rsidRPr="00DA7A6C">
              <w:rPr>
                <w:sz w:val="18"/>
                <w:szCs w:val="18"/>
              </w:rPr>
              <w:t xml:space="preserve">характеристиках условиях исполнения </w:t>
            </w:r>
            <w:r>
              <w:rPr>
                <w:sz w:val="18"/>
                <w:szCs w:val="18"/>
              </w:rPr>
              <w:t>договора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A7A6C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:rsidR="007809BB" w:rsidRPr="00DA7A6C" w:rsidRDefault="007809BB" w:rsidP="007B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 лицензии, сертификаты соответствия, свидетельства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A7A6C">
              <w:rPr>
                <w:sz w:val="18"/>
                <w:szCs w:val="18"/>
              </w:rPr>
              <w:t>.</w:t>
            </w:r>
          </w:p>
        </w:tc>
        <w:tc>
          <w:tcPr>
            <w:tcW w:w="4680" w:type="dxa"/>
          </w:tcPr>
          <w:p w:rsidR="007809BB" w:rsidRPr="00DA7A6C" w:rsidRDefault="007809BB" w:rsidP="007B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Pr="00DA7A6C">
              <w:rPr>
                <w:sz w:val="18"/>
                <w:szCs w:val="18"/>
              </w:rPr>
              <w:t xml:space="preserve"> о постан</w:t>
            </w:r>
            <w:r>
              <w:rPr>
                <w:sz w:val="18"/>
                <w:szCs w:val="18"/>
              </w:rPr>
              <w:t>овке на учет в налоговом органе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 w:rsidRPr="00DA7A6C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680" w:type="dxa"/>
          </w:tcPr>
          <w:p w:rsidR="007809BB" w:rsidRPr="00DA7A6C" w:rsidRDefault="007809BB" w:rsidP="007B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Подтверждение одобрения крупной сделки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809BB" w:rsidTr="00E10B27">
        <w:tc>
          <w:tcPr>
            <w:tcW w:w="360" w:type="dxa"/>
            <w:vAlign w:val="center"/>
          </w:tcPr>
          <w:p w:rsidR="007809BB" w:rsidRPr="00DA7A6C" w:rsidRDefault="007809BB" w:rsidP="00175B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680" w:type="dxa"/>
          </w:tcPr>
          <w:p w:rsidR="007809BB" w:rsidRDefault="007809BB" w:rsidP="007B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документы, подтверждающие соответствие установленным требованиям, по мнению участника закупки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7809BB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7809BB" w:rsidRPr="00DA7A6C" w:rsidRDefault="007809BB" w:rsidP="00175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7809BB" w:rsidRPr="00E10B27" w:rsidRDefault="007809BB" w:rsidP="009007E8">
      <w:pPr>
        <w:jc w:val="both"/>
        <w:rPr>
          <w:sz w:val="8"/>
          <w:szCs w:val="8"/>
        </w:rPr>
      </w:pPr>
    </w:p>
    <w:p w:rsidR="007809BB" w:rsidRDefault="007809BB" w:rsidP="009007E8">
      <w:pPr>
        <w:jc w:val="both"/>
      </w:pPr>
      <w:r>
        <w:t>Условия исполнения договора, указанные в заявке и являющиеся критерием оценки заявок на участие в открытом запросе цен:</w:t>
      </w:r>
    </w:p>
    <w:p w:rsidR="007809BB" w:rsidRPr="00E10B27" w:rsidRDefault="007809BB" w:rsidP="009007E8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540"/>
        <w:gridCol w:w="1008"/>
        <w:gridCol w:w="5940"/>
        <w:gridCol w:w="2367"/>
      </w:tblGrid>
      <w:tr w:rsidR="007809BB" w:rsidTr="004A79B5">
        <w:tc>
          <w:tcPr>
            <w:tcW w:w="540" w:type="dxa"/>
            <w:vAlign w:val="center"/>
          </w:tcPr>
          <w:p w:rsidR="007809BB" w:rsidRPr="004A79B5" w:rsidRDefault="007809BB" w:rsidP="004A79B5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№ п/п</w:t>
            </w:r>
          </w:p>
        </w:tc>
        <w:tc>
          <w:tcPr>
            <w:tcW w:w="1008" w:type="dxa"/>
            <w:vAlign w:val="center"/>
          </w:tcPr>
          <w:p w:rsidR="007809BB" w:rsidRPr="004A79B5" w:rsidRDefault="007809BB" w:rsidP="004A79B5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Номер заявки</w:t>
            </w:r>
          </w:p>
        </w:tc>
        <w:tc>
          <w:tcPr>
            <w:tcW w:w="5940" w:type="dxa"/>
            <w:vAlign w:val="center"/>
          </w:tcPr>
          <w:p w:rsidR="007809BB" w:rsidRPr="004A79B5" w:rsidRDefault="007809BB" w:rsidP="004A79B5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Условия исполнения договора,</w:t>
            </w:r>
          </w:p>
          <w:p w:rsidR="007809BB" w:rsidRPr="004A79B5" w:rsidRDefault="007809BB" w:rsidP="004A79B5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являющиеся критерием оценки заявок</w:t>
            </w:r>
          </w:p>
        </w:tc>
        <w:tc>
          <w:tcPr>
            <w:tcW w:w="2367" w:type="dxa"/>
            <w:vAlign w:val="center"/>
          </w:tcPr>
          <w:p w:rsidR="007809BB" w:rsidRPr="004A79B5" w:rsidRDefault="007809BB" w:rsidP="004A79B5">
            <w:pPr>
              <w:jc w:val="center"/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Предложения в заявках</w:t>
            </w:r>
          </w:p>
        </w:tc>
      </w:tr>
      <w:tr w:rsidR="007809BB" w:rsidTr="008D3823">
        <w:tc>
          <w:tcPr>
            <w:tcW w:w="540" w:type="dxa"/>
            <w:vAlign w:val="center"/>
          </w:tcPr>
          <w:p w:rsidR="007809BB" w:rsidRDefault="007809BB" w:rsidP="008D3823">
            <w:r>
              <w:t>1.</w:t>
            </w:r>
          </w:p>
        </w:tc>
        <w:tc>
          <w:tcPr>
            <w:tcW w:w="1008" w:type="dxa"/>
            <w:vAlign w:val="center"/>
          </w:tcPr>
          <w:p w:rsidR="007809BB" w:rsidRDefault="007809BB" w:rsidP="008D3823">
            <w:r>
              <w:t>№01</w:t>
            </w:r>
          </w:p>
        </w:tc>
        <w:tc>
          <w:tcPr>
            <w:tcW w:w="5940" w:type="dxa"/>
            <w:vAlign w:val="center"/>
          </w:tcPr>
          <w:p w:rsidR="007809BB" w:rsidRPr="004A79B5" w:rsidRDefault="007809BB" w:rsidP="008D3823">
            <w:pPr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Цена с указанием расходов на страхование, уплату таможенных пошлин, налогов, сборов и другие обязательные платежи, рублей копеек</w:t>
            </w:r>
          </w:p>
        </w:tc>
        <w:tc>
          <w:tcPr>
            <w:tcW w:w="2367" w:type="dxa"/>
            <w:vAlign w:val="center"/>
          </w:tcPr>
          <w:p w:rsidR="007809BB" w:rsidRDefault="007809BB" w:rsidP="008D3823">
            <w:pPr>
              <w:jc w:val="center"/>
            </w:pPr>
            <w:r>
              <w:t>1.149.000</w:t>
            </w:r>
          </w:p>
        </w:tc>
      </w:tr>
      <w:tr w:rsidR="007809BB" w:rsidTr="008D3823">
        <w:tc>
          <w:tcPr>
            <w:tcW w:w="540" w:type="dxa"/>
            <w:vAlign w:val="center"/>
          </w:tcPr>
          <w:p w:rsidR="007809BB" w:rsidRDefault="007809BB" w:rsidP="008D3823">
            <w:r>
              <w:t>2.</w:t>
            </w:r>
          </w:p>
        </w:tc>
        <w:tc>
          <w:tcPr>
            <w:tcW w:w="1008" w:type="dxa"/>
            <w:vAlign w:val="center"/>
          </w:tcPr>
          <w:p w:rsidR="007809BB" w:rsidRDefault="007809BB" w:rsidP="008D3823">
            <w:r>
              <w:t>№02</w:t>
            </w:r>
          </w:p>
        </w:tc>
        <w:tc>
          <w:tcPr>
            <w:tcW w:w="5940" w:type="dxa"/>
            <w:vAlign w:val="center"/>
          </w:tcPr>
          <w:p w:rsidR="007809BB" w:rsidRPr="004A79B5" w:rsidRDefault="007809BB" w:rsidP="008D3823">
            <w:pPr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 xml:space="preserve">Цена с указанием расходов на страхование, уплату таможенных пошлин, налогов, сборов и другие обязательные платежи, рублей копеек </w:t>
            </w:r>
          </w:p>
        </w:tc>
        <w:tc>
          <w:tcPr>
            <w:tcW w:w="2367" w:type="dxa"/>
            <w:vAlign w:val="center"/>
          </w:tcPr>
          <w:p w:rsidR="007809BB" w:rsidRDefault="007809BB" w:rsidP="008D3823">
            <w:pPr>
              <w:jc w:val="center"/>
            </w:pPr>
            <w:r>
              <w:t>877 707,60 рублей         с НДС</w:t>
            </w:r>
          </w:p>
        </w:tc>
      </w:tr>
      <w:tr w:rsidR="007809BB" w:rsidTr="008D3823">
        <w:tc>
          <w:tcPr>
            <w:tcW w:w="540" w:type="dxa"/>
            <w:vAlign w:val="center"/>
          </w:tcPr>
          <w:p w:rsidR="007809BB" w:rsidRDefault="007809BB" w:rsidP="008D3823">
            <w:r>
              <w:t>3.</w:t>
            </w:r>
          </w:p>
        </w:tc>
        <w:tc>
          <w:tcPr>
            <w:tcW w:w="1008" w:type="dxa"/>
            <w:vAlign w:val="center"/>
          </w:tcPr>
          <w:p w:rsidR="007809BB" w:rsidRDefault="007809BB" w:rsidP="008D3823">
            <w:r>
              <w:t>№03</w:t>
            </w:r>
          </w:p>
        </w:tc>
        <w:tc>
          <w:tcPr>
            <w:tcW w:w="5940" w:type="dxa"/>
            <w:vAlign w:val="center"/>
          </w:tcPr>
          <w:p w:rsidR="007809BB" w:rsidRPr="004A79B5" w:rsidRDefault="007809BB" w:rsidP="008D3823">
            <w:pPr>
              <w:rPr>
                <w:sz w:val="20"/>
                <w:szCs w:val="20"/>
              </w:rPr>
            </w:pPr>
            <w:r w:rsidRPr="004A79B5">
              <w:rPr>
                <w:sz w:val="20"/>
                <w:szCs w:val="20"/>
              </w:rPr>
              <w:t>Цена с указанием расходов на страхование, уплату таможенных пошлин, налогов, сборов и другие обязательные платежи, рублей копеек</w:t>
            </w:r>
          </w:p>
        </w:tc>
        <w:tc>
          <w:tcPr>
            <w:tcW w:w="2367" w:type="dxa"/>
            <w:vAlign w:val="center"/>
          </w:tcPr>
          <w:p w:rsidR="007809BB" w:rsidRDefault="007809BB" w:rsidP="008D3823">
            <w:pPr>
              <w:jc w:val="center"/>
            </w:pPr>
            <w:r>
              <w:t>1.090.870,00</w:t>
            </w:r>
          </w:p>
        </w:tc>
      </w:tr>
    </w:tbl>
    <w:p w:rsidR="007809BB" w:rsidRPr="00E10B27" w:rsidRDefault="007809BB" w:rsidP="008F2782">
      <w:pPr>
        <w:jc w:val="both"/>
        <w:rPr>
          <w:sz w:val="8"/>
          <w:szCs w:val="8"/>
        </w:rPr>
      </w:pPr>
    </w:p>
    <w:p w:rsidR="007809BB" w:rsidRDefault="007809BB" w:rsidP="006F215F">
      <w:pPr>
        <w:jc w:val="both"/>
        <w:rPr>
          <w:b/>
        </w:rPr>
      </w:pPr>
    </w:p>
    <w:p w:rsidR="007809BB" w:rsidRDefault="007809BB" w:rsidP="006F215F">
      <w:pPr>
        <w:jc w:val="both"/>
        <w:rPr>
          <w:b/>
        </w:rPr>
      </w:pPr>
    </w:p>
    <w:p w:rsidR="007809BB" w:rsidRDefault="007809BB" w:rsidP="006F215F">
      <w:pPr>
        <w:jc w:val="both"/>
        <w:rPr>
          <w:b/>
        </w:rPr>
      </w:pPr>
    </w:p>
    <w:p w:rsidR="007809BB" w:rsidRDefault="007809BB" w:rsidP="006F215F">
      <w:pPr>
        <w:jc w:val="both"/>
        <w:rPr>
          <w:b/>
        </w:rPr>
      </w:pPr>
    </w:p>
    <w:p w:rsidR="007809BB" w:rsidRDefault="007809BB" w:rsidP="006F215F">
      <w:pPr>
        <w:jc w:val="both"/>
        <w:rPr>
          <w:b/>
        </w:rPr>
      </w:pPr>
    </w:p>
    <w:p w:rsidR="007809BB" w:rsidRDefault="007809BB" w:rsidP="006F215F">
      <w:pPr>
        <w:jc w:val="both"/>
        <w:rPr>
          <w:b/>
        </w:rPr>
      </w:pPr>
    </w:p>
    <w:p w:rsidR="007809BB" w:rsidRDefault="007809BB" w:rsidP="006F215F">
      <w:pPr>
        <w:jc w:val="both"/>
        <w:rPr>
          <w:b/>
        </w:rPr>
      </w:pPr>
      <w:r>
        <w:rPr>
          <w:b/>
        </w:rPr>
        <w:t>6. Заключительные положения</w:t>
      </w:r>
    </w:p>
    <w:p w:rsidR="007809BB" w:rsidRDefault="007809BB" w:rsidP="006F215F">
      <w:pPr>
        <w:jc w:val="both"/>
      </w:pPr>
      <w:r>
        <w:t xml:space="preserve">6.1. Заседание закупочной комиссии по вскрытию конвертов с заявками на участие в запросе цен закончено «01» февраля </w:t>
      </w:r>
      <w:smartTag w:uri="urn:schemas-microsoft-com:office:smarttags" w:element="metricconverter">
        <w:smartTagPr>
          <w:attr w:name="ProductID" w:val="2013 г"/>
        </w:smartTagPr>
        <w:r w:rsidRPr="00D9057D">
          <w:t>201</w:t>
        </w:r>
        <w:r>
          <w:t>3</w:t>
        </w:r>
        <w:r w:rsidRPr="00D9057D">
          <w:t xml:space="preserve"> г</w:t>
        </w:r>
      </w:smartTag>
      <w:r w:rsidRPr="00D9057D">
        <w:t>. в 1</w:t>
      </w:r>
      <w:r>
        <w:t>0</w:t>
      </w:r>
      <w:r w:rsidRPr="00D9057D">
        <w:t xml:space="preserve"> час. </w:t>
      </w:r>
      <w:r>
        <w:t>15</w:t>
      </w:r>
      <w:r w:rsidRPr="00D9057D">
        <w:t xml:space="preserve"> мин. </w:t>
      </w:r>
      <w:r>
        <w:t>(МСК)</w:t>
      </w:r>
      <w:r w:rsidRPr="00D9057D">
        <w:t>.</w:t>
      </w:r>
      <w:r>
        <w:t xml:space="preserve"> </w:t>
      </w:r>
    </w:p>
    <w:p w:rsidR="007809BB" w:rsidRDefault="007809BB" w:rsidP="006F215F">
      <w:pPr>
        <w:jc w:val="both"/>
      </w:pPr>
      <w:r>
        <w:t>6.2. Закупочная комиссия проведет рассмотрение, оценку и сопоставление заявок на участие в запросе цен, а также подведет итоги запроса цен в сроки, указанные в документации по настоящему запросу цен.</w:t>
      </w:r>
    </w:p>
    <w:p w:rsidR="007809BB" w:rsidRDefault="007809BB" w:rsidP="006F215F">
      <w:pPr>
        <w:jc w:val="both"/>
      </w:pPr>
      <w:r>
        <w:t>6.3. Настоящий протокол оформляется и подписывается не позже следующего рабочего дня после проведения процедуры вскрытия конвертов.</w:t>
      </w:r>
    </w:p>
    <w:p w:rsidR="007809BB" w:rsidRDefault="007809BB" w:rsidP="006F215F">
      <w:pPr>
        <w:jc w:val="both"/>
      </w:pPr>
      <w:r>
        <w:t xml:space="preserve">6.4. Протокол размещается на официальном сайте </w:t>
      </w:r>
      <w:hyperlink r:id="rId7" w:history="1">
        <w:r w:rsidRPr="00E32C03">
          <w:rPr>
            <w:rStyle w:val="Hyperlink"/>
            <w:lang w:val="en-US"/>
          </w:rPr>
          <w:t>www</w:t>
        </w:r>
        <w:r w:rsidRPr="00E32C03">
          <w:rPr>
            <w:rStyle w:val="Hyperlink"/>
          </w:rPr>
          <w:t>.</w:t>
        </w:r>
        <w:r w:rsidRPr="00E32C03">
          <w:rPr>
            <w:rStyle w:val="Hyperlink"/>
            <w:lang w:val="en-US"/>
          </w:rPr>
          <w:t>zakupki</w:t>
        </w:r>
        <w:r w:rsidRPr="00E32C03">
          <w:rPr>
            <w:rStyle w:val="Hyperlink"/>
          </w:rPr>
          <w:t>.</w:t>
        </w:r>
        <w:r w:rsidRPr="00E32C03">
          <w:rPr>
            <w:rStyle w:val="Hyperlink"/>
            <w:lang w:val="en-US"/>
          </w:rPr>
          <w:t>gov</w:t>
        </w:r>
        <w:r w:rsidRPr="00E32C03">
          <w:rPr>
            <w:rStyle w:val="Hyperlink"/>
          </w:rPr>
          <w:t>.</w:t>
        </w:r>
        <w:r w:rsidRPr="00E32C03">
          <w:rPr>
            <w:rStyle w:val="Hyperlink"/>
            <w:lang w:val="en-US"/>
          </w:rPr>
          <w:t>ru</w:t>
        </w:r>
      </w:hyperlink>
      <w:r>
        <w:t xml:space="preserve"> и на сайте                                   ОАО «Чебоксарский речной порт» </w:t>
      </w:r>
      <w:hyperlink r:id="rId8" w:history="1">
        <w:r w:rsidRPr="004E26E1">
          <w:rPr>
            <w:rStyle w:val="Hyperlink"/>
            <w:lang w:val="en-US"/>
          </w:rPr>
          <w:t>www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chport</w:t>
        </w:r>
        <w:r w:rsidRPr="004E26E1">
          <w:rPr>
            <w:rStyle w:val="Hyperlink"/>
          </w:rPr>
          <w:t>.</w:t>
        </w:r>
        <w:r w:rsidRPr="004E26E1">
          <w:rPr>
            <w:rStyle w:val="Hyperlink"/>
            <w:lang w:val="en-US"/>
          </w:rPr>
          <w:t>ru</w:t>
        </w:r>
      </w:hyperlink>
      <w:r>
        <w:t xml:space="preserve"> в течение трех рабочих дней, следующих после подписания данного протокола, и подлежит хранению в течение трех лет со дня подведения итогов настоящего запроса цен.</w:t>
      </w:r>
    </w:p>
    <w:p w:rsidR="007809BB" w:rsidRDefault="007809BB" w:rsidP="006F215F">
      <w:pPr>
        <w:jc w:val="both"/>
      </w:pPr>
      <w:r>
        <w:t>6.5. Настоящий протокол подписан всеми присутствующими на заседании членами закупочной комиссии.</w:t>
      </w:r>
    </w:p>
    <w:sectPr w:rsidR="007809BB" w:rsidSect="00E10B27">
      <w:footerReference w:type="even" r:id="rId9"/>
      <w:footerReference w:type="default" r:id="rId10"/>
      <w:pgSz w:w="11906" w:h="16838"/>
      <w:pgMar w:top="539" w:right="386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BB" w:rsidRDefault="007809BB">
      <w:r>
        <w:separator/>
      </w:r>
    </w:p>
  </w:endnote>
  <w:endnote w:type="continuationSeparator" w:id="0">
    <w:p w:rsidR="007809BB" w:rsidRDefault="0078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BB" w:rsidRDefault="007809BB" w:rsidP="00F54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9BB" w:rsidRDefault="007809BB" w:rsidP="00996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BB" w:rsidRDefault="007809BB" w:rsidP="00F54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09BB" w:rsidRDefault="007809BB" w:rsidP="009961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BB" w:rsidRDefault="007809BB">
      <w:r>
        <w:separator/>
      </w:r>
    </w:p>
  </w:footnote>
  <w:footnote w:type="continuationSeparator" w:id="0">
    <w:p w:rsidR="007809BB" w:rsidRDefault="00780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5F"/>
    <w:rsid w:val="00042FBF"/>
    <w:rsid w:val="00081508"/>
    <w:rsid w:val="000A7863"/>
    <w:rsid w:val="000C6F9D"/>
    <w:rsid w:val="000F0604"/>
    <w:rsid w:val="000F35A4"/>
    <w:rsid w:val="00121F43"/>
    <w:rsid w:val="00131761"/>
    <w:rsid w:val="00136427"/>
    <w:rsid w:val="001367A4"/>
    <w:rsid w:val="0014298A"/>
    <w:rsid w:val="00175B65"/>
    <w:rsid w:val="00193F26"/>
    <w:rsid w:val="001A0869"/>
    <w:rsid w:val="001A5E3B"/>
    <w:rsid w:val="001A7A74"/>
    <w:rsid w:val="001B034C"/>
    <w:rsid w:val="001B57CB"/>
    <w:rsid w:val="001C79D3"/>
    <w:rsid w:val="0023476C"/>
    <w:rsid w:val="00272262"/>
    <w:rsid w:val="00291611"/>
    <w:rsid w:val="002A4E53"/>
    <w:rsid w:val="002D7869"/>
    <w:rsid w:val="003658A6"/>
    <w:rsid w:val="00366FE4"/>
    <w:rsid w:val="0038159D"/>
    <w:rsid w:val="003E7B3F"/>
    <w:rsid w:val="00453177"/>
    <w:rsid w:val="0047125B"/>
    <w:rsid w:val="004A79B5"/>
    <w:rsid w:val="004D599B"/>
    <w:rsid w:val="004E26E1"/>
    <w:rsid w:val="005405FB"/>
    <w:rsid w:val="005A16C0"/>
    <w:rsid w:val="005A2820"/>
    <w:rsid w:val="005A3813"/>
    <w:rsid w:val="005C4B98"/>
    <w:rsid w:val="005D15DD"/>
    <w:rsid w:val="005D20E4"/>
    <w:rsid w:val="00624E3F"/>
    <w:rsid w:val="006421C1"/>
    <w:rsid w:val="00693FB6"/>
    <w:rsid w:val="006A4463"/>
    <w:rsid w:val="006D2308"/>
    <w:rsid w:val="006F215F"/>
    <w:rsid w:val="00754F15"/>
    <w:rsid w:val="0076117C"/>
    <w:rsid w:val="00775245"/>
    <w:rsid w:val="007809BB"/>
    <w:rsid w:val="007965CB"/>
    <w:rsid w:val="007B4703"/>
    <w:rsid w:val="007C50A0"/>
    <w:rsid w:val="007D476F"/>
    <w:rsid w:val="008163A0"/>
    <w:rsid w:val="00826A3C"/>
    <w:rsid w:val="008323A6"/>
    <w:rsid w:val="0086158B"/>
    <w:rsid w:val="00866993"/>
    <w:rsid w:val="008B2335"/>
    <w:rsid w:val="008D37EA"/>
    <w:rsid w:val="008D3823"/>
    <w:rsid w:val="008E1710"/>
    <w:rsid w:val="008F2782"/>
    <w:rsid w:val="009007E8"/>
    <w:rsid w:val="0093264A"/>
    <w:rsid w:val="009664ED"/>
    <w:rsid w:val="00984F6D"/>
    <w:rsid w:val="00996173"/>
    <w:rsid w:val="009D5714"/>
    <w:rsid w:val="00A20663"/>
    <w:rsid w:val="00A3457D"/>
    <w:rsid w:val="00A421C6"/>
    <w:rsid w:val="00A54DF5"/>
    <w:rsid w:val="00A8268A"/>
    <w:rsid w:val="00AD5965"/>
    <w:rsid w:val="00AE21D6"/>
    <w:rsid w:val="00B37D76"/>
    <w:rsid w:val="00B70841"/>
    <w:rsid w:val="00BB127A"/>
    <w:rsid w:val="00BC0518"/>
    <w:rsid w:val="00BC1EFF"/>
    <w:rsid w:val="00BC4C40"/>
    <w:rsid w:val="00BC766B"/>
    <w:rsid w:val="00BC7D80"/>
    <w:rsid w:val="00BD56AB"/>
    <w:rsid w:val="00C02062"/>
    <w:rsid w:val="00C4289D"/>
    <w:rsid w:val="00C75912"/>
    <w:rsid w:val="00CB6D30"/>
    <w:rsid w:val="00CD3981"/>
    <w:rsid w:val="00CE1944"/>
    <w:rsid w:val="00D3785F"/>
    <w:rsid w:val="00D40F25"/>
    <w:rsid w:val="00D837D5"/>
    <w:rsid w:val="00D9057D"/>
    <w:rsid w:val="00DA1720"/>
    <w:rsid w:val="00DA44B0"/>
    <w:rsid w:val="00DA7A6C"/>
    <w:rsid w:val="00DB1BBE"/>
    <w:rsid w:val="00DC778F"/>
    <w:rsid w:val="00DC78E2"/>
    <w:rsid w:val="00DE67B8"/>
    <w:rsid w:val="00E10B27"/>
    <w:rsid w:val="00E15F19"/>
    <w:rsid w:val="00E31448"/>
    <w:rsid w:val="00E32C03"/>
    <w:rsid w:val="00E459A6"/>
    <w:rsid w:val="00E54873"/>
    <w:rsid w:val="00E61245"/>
    <w:rsid w:val="00EB0A6E"/>
    <w:rsid w:val="00EB45E3"/>
    <w:rsid w:val="00EE0CB2"/>
    <w:rsid w:val="00EF021E"/>
    <w:rsid w:val="00EF1907"/>
    <w:rsid w:val="00F5415B"/>
    <w:rsid w:val="00F659A9"/>
    <w:rsid w:val="00FA6892"/>
    <w:rsid w:val="00FB4E91"/>
    <w:rsid w:val="00FB7B98"/>
    <w:rsid w:val="00FC37BD"/>
    <w:rsid w:val="00FC3903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15F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2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F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6F215F"/>
    <w:pPr>
      <w:spacing w:after="160" w:line="240" w:lineRule="exact"/>
    </w:pPr>
    <w:rPr>
      <w:rFonts w:ascii="Verdana" w:hAnsi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9961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32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961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o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por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1197</Words>
  <Characters>6825</Characters>
  <Application>Microsoft Office Outlook</Application>
  <DocSecurity>0</DocSecurity>
  <Lines>0</Lines>
  <Paragraphs>0</Paragraphs>
  <ScaleCrop>false</ScaleCrop>
  <Company>ОАО "Чебоксарский речной порт"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Калашникова</dc:creator>
  <cp:keywords/>
  <dc:description/>
  <cp:lastModifiedBy>ЕгороваМА</cp:lastModifiedBy>
  <cp:revision>2</cp:revision>
  <cp:lastPrinted>2013-02-04T06:54:00Z</cp:lastPrinted>
  <dcterms:created xsi:type="dcterms:W3CDTF">2013-02-04T12:07:00Z</dcterms:created>
  <dcterms:modified xsi:type="dcterms:W3CDTF">2013-02-04T12:07:00Z</dcterms:modified>
</cp:coreProperties>
</file>