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B" w:rsidRDefault="00A91DAB" w:rsidP="0079493B">
      <w:pPr>
        <w:jc w:val="center"/>
        <w:rPr>
          <w:b/>
        </w:rPr>
      </w:pPr>
      <w:r w:rsidRPr="008E1710">
        <w:rPr>
          <w:b/>
        </w:rPr>
        <w:t>ПРОТОКОЛ</w:t>
      </w:r>
    </w:p>
    <w:p w:rsidR="00A91DAB" w:rsidRDefault="00A91DAB" w:rsidP="0079493B">
      <w:pPr>
        <w:jc w:val="center"/>
        <w:rPr>
          <w:b/>
        </w:rPr>
      </w:pPr>
      <w:r>
        <w:rPr>
          <w:b/>
        </w:rPr>
        <w:t>рассмотрения</w:t>
      </w:r>
      <w:r w:rsidRPr="008E1710">
        <w:rPr>
          <w:b/>
        </w:rPr>
        <w:t xml:space="preserve"> заяв</w:t>
      </w:r>
      <w:r>
        <w:rPr>
          <w:b/>
        </w:rPr>
        <w:t>о</w:t>
      </w:r>
      <w:r w:rsidRPr="008E1710">
        <w:rPr>
          <w:b/>
        </w:rPr>
        <w:t>к</w:t>
      </w:r>
      <w:r>
        <w:rPr>
          <w:b/>
        </w:rPr>
        <w:t xml:space="preserve"> </w:t>
      </w:r>
      <w:r w:rsidRPr="008E1710">
        <w:rPr>
          <w:b/>
        </w:rPr>
        <w:t>на участие в</w:t>
      </w:r>
      <w:r>
        <w:rPr>
          <w:b/>
        </w:rPr>
        <w:t xml:space="preserve"> открытом</w:t>
      </w:r>
      <w:r w:rsidRPr="008E1710">
        <w:rPr>
          <w:b/>
        </w:rPr>
        <w:t xml:space="preserve"> </w:t>
      </w:r>
      <w:r>
        <w:rPr>
          <w:b/>
        </w:rPr>
        <w:t>запросе цен</w:t>
      </w:r>
      <w:r w:rsidRPr="008E1710">
        <w:rPr>
          <w:b/>
        </w:rPr>
        <w:t xml:space="preserve"> </w:t>
      </w:r>
      <w:r>
        <w:rPr>
          <w:b/>
        </w:rPr>
        <w:t xml:space="preserve">на поставку деталей насосов </w:t>
      </w:r>
    </w:p>
    <w:p w:rsidR="00A91DAB" w:rsidRPr="00EB45E3" w:rsidRDefault="00A91DAB" w:rsidP="0079493B">
      <w:pPr>
        <w:jc w:val="center"/>
        <w:rPr>
          <w:b/>
        </w:rPr>
      </w:pPr>
      <w:r>
        <w:rPr>
          <w:b/>
        </w:rPr>
        <w:t>гидроперегружателей и землесоса ПЗС-500.16</w:t>
      </w:r>
    </w:p>
    <w:p w:rsidR="00A91DAB" w:rsidRDefault="00A91DAB" w:rsidP="0079493B">
      <w:pPr>
        <w:rPr>
          <w:sz w:val="12"/>
          <w:szCs w:val="12"/>
        </w:rPr>
      </w:pPr>
    </w:p>
    <w:p w:rsidR="00A91DAB" w:rsidRPr="003D5DD3" w:rsidRDefault="00A91DAB" w:rsidP="0079493B">
      <w:pPr>
        <w:rPr>
          <w:sz w:val="12"/>
          <w:szCs w:val="12"/>
        </w:rPr>
      </w:pPr>
    </w:p>
    <w:p w:rsidR="00A91DAB" w:rsidRDefault="00A91DAB" w:rsidP="0079493B">
      <w:r>
        <w:t xml:space="preserve">Чувашская Республика, </w:t>
      </w:r>
    </w:p>
    <w:p w:rsidR="00A91DAB" w:rsidRDefault="00A91DAB" w:rsidP="0079493B">
      <w:r>
        <w:t xml:space="preserve">г. Чебоксары                                                                                                «01»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91DAB" w:rsidRPr="003D5DD3" w:rsidRDefault="00A91DAB" w:rsidP="0079493B">
      <w:pPr>
        <w:rPr>
          <w:sz w:val="12"/>
          <w:szCs w:val="12"/>
        </w:rPr>
      </w:pPr>
    </w:p>
    <w:p w:rsidR="00A91DAB" w:rsidRDefault="00A91DAB" w:rsidP="0079493B">
      <w:pPr>
        <w:rPr>
          <w:b/>
        </w:rPr>
      </w:pPr>
      <w:r>
        <w:rPr>
          <w:b/>
        </w:rPr>
        <w:t xml:space="preserve">            </w:t>
      </w:r>
      <w:r w:rsidRPr="00EB45E3">
        <w:rPr>
          <w:b/>
        </w:rPr>
        <w:t xml:space="preserve">1. Общие сведения о </w:t>
      </w:r>
      <w:r>
        <w:rPr>
          <w:b/>
        </w:rPr>
        <w:t>запросе цен</w:t>
      </w:r>
    </w:p>
    <w:p w:rsidR="00A91DAB" w:rsidRPr="003D5DD3" w:rsidRDefault="00A91DAB" w:rsidP="0079493B">
      <w:pPr>
        <w:rPr>
          <w:b/>
          <w:sz w:val="12"/>
          <w:szCs w:val="12"/>
        </w:rPr>
      </w:pPr>
    </w:p>
    <w:p w:rsidR="00A91DAB" w:rsidRPr="00C4289D" w:rsidRDefault="00A91DAB" w:rsidP="0079493B">
      <w:pPr>
        <w:jc w:val="both"/>
      </w:pPr>
      <w:r w:rsidRPr="00C4289D">
        <w:t>1.1</w:t>
      </w:r>
      <w:r>
        <w:t>.</w:t>
      </w:r>
      <w:r w:rsidRPr="00C4289D">
        <w:t xml:space="preserve"> Наименование предмета </w:t>
      </w:r>
      <w:r>
        <w:t>открытого запроса цен -</w:t>
      </w:r>
      <w:r w:rsidRPr="00C4289D">
        <w:t xml:space="preserve"> </w:t>
      </w:r>
      <w:r>
        <w:t>поставка деталей насосов гидроперегружателей и землесоса ПЗС-500.16.</w:t>
      </w:r>
      <w:r w:rsidRPr="00C4289D">
        <w:t xml:space="preserve"> </w:t>
      </w:r>
    </w:p>
    <w:p w:rsidR="00A91DAB" w:rsidRDefault="00A91DAB" w:rsidP="0079493B">
      <w:pPr>
        <w:jc w:val="both"/>
      </w:pPr>
      <w:r>
        <w:t xml:space="preserve">1.2. Начальная (максимальная) цена договора - 1 200 000  (один миллион двести тысяч) рублей 00 копеек. </w:t>
      </w:r>
    </w:p>
    <w:p w:rsidR="00A91DAB" w:rsidRDefault="00A91DAB" w:rsidP="0079493B">
      <w:pPr>
        <w:jc w:val="both"/>
      </w:pPr>
      <w:r>
        <w:t>1.3. Заказчик: Открытое акционерное общество "Чебоксарский речной порт".</w:t>
      </w:r>
    </w:p>
    <w:p w:rsidR="00A91DAB" w:rsidRDefault="00A91DAB" w:rsidP="0079493B">
      <w:pPr>
        <w:jc w:val="both"/>
      </w:pPr>
      <w:r>
        <w:t xml:space="preserve">1.4. Место нахождения и почтовый адрес заказчика - </w:t>
      </w:r>
      <w:smartTag w:uri="urn:schemas-microsoft-com:office:smarttags" w:element="metricconverter">
        <w:smartTagPr>
          <w:attr w:name="ProductID" w:val="428008, г"/>
        </w:smartTagPr>
        <w:r>
          <w:t>428008, г</w:t>
        </w:r>
      </w:smartTag>
      <w:r>
        <w:t>. Чебоксары, пл. Речников, д.5.</w:t>
      </w:r>
    </w:p>
    <w:p w:rsidR="00A91DAB" w:rsidRPr="007D476F" w:rsidRDefault="00A91DAB" w:rsidP="0079493B">
      <w:pPr>
        <w:jc w:val="both"/>
      </w:pPr>
      <w:r>
        <w:t xml:space="preserve">1.5. Извещение о проведении запроса цен размещено на официальном сайте </w:t>
      </w:r>
      <w:hyperlink r:id="rId5" w:history="1">
        <w:r w:rsidRPr="00092917">
          <w:rPr>
            <w:rStyle w:val="Hyperlink"/>
            <w:lang w:val="en-US"/>
          </w:rPr>
          <w:t>www</w:t>
        </w:r>
        <w:r w:rsidRPr="0054075B">
          <w:rPr>
            <w:rStyle w:val="Hyperlink"/>
          </w:rPr>
          <w:t>.</w:t>
        </w:r>
        <w:r w:rsidRPr="00092917">
          <w:rPr>
            <w:rStyle w:val="Hyperlink"/>
            <w:lang w:val="en-US"/>
          </w:rPr>
          <w:t>zakupki</w:t>
        </w:r>
        <w:r w:rsidRPr="0054075B">
          <w:rPr>
            <w:rStyle w:val="Hyperlink"/>
          </w:rPr>
          <w:t>.</w:t>
        </w:r>
        <w:r w:rsidRPr="00092917">
          <w:rPr>
            <w:rStyle w:val="Hyperlink"/>
            <w:lang w:val="en-US"/>
          </w:rPr>
          <w:t>gov</w:t>
        </w:r>
        <w:r w:rsidRPr="0054075B">
          <w:rPr>
            <w:rStyle w:val="Hyperlink"/>
          </w:rPr>
          <w:t>.</w:t>
        </w:r>
        <w:r w:rsidRPr="00092917">
          <w:rPr>
            <w:rStyle w:val="Hyperlink"/>
            <w:lang w:val="en-US"/>
          </w:rPr>
          <w:t>ru</w:t>
        </w:r>
      </w:hyperlink>
      <w:r w:rsidRPr="0054075B">
        <w:t xml:space="preserve"> </w:t>
      </w:r>
      <w:r>
        <w:t xml:space="preserve">и на сайте ОАО «Чебоксарский речной порт» </w:t>
      </w:r>
      <w:hyperlink r:id="rId6" w:history="1">
        <w:r w:rsidRPr="004E26E1">
          <w:rPr>
            <w:rStyle w:val="Hyperlink"/>
            <w:lang w:val="en-US"/>
          </w:rPr>
          <w:t>www</w:t>
        </w:r>
        <w:r w:rsidRPr="004E26E1">
          <w:rPr>
            <w:rStyle w:val="Hyperlink"/>
          </w:rPr>
          <w:t>.</w:t>
        </w:r>
        <w:r w:rsidRPr="004E26E1">
          <w:rPr>
            <w:rStyle w:val="Hyperlink"/>
            <w:lang w:val="en-US"/>
          </w:rPr>
          <w:t>chport</w:t>
        </w:r>
        <w:r w:rsidRPr="004E26E1">
          <w:rPr>
            <w:rStyle w:val="Hyperlink"/>
          </w:rPr>
          <w:t>.</w:t>
        </w:r>
        <w:r w:rsidRPr="004E26E1">
          <w:rPr>
            <w:rStyle w:val="Hyperlink"/>
            <w:lang w:val="en-US"/>
          </w:rPr>
          <w:t>ru</w:t>
        </w:r>
      </w:hyperlink>
      <w:r>
        <w:t xml:space="preserve"> в соответствии текстом извещения, утвержденного генеральным директором                                ОАО «Чебоксарский речной порт» «24» января 2013г.</w:t>
      </w:r>
    </w:p>
    <w:p w:rsidR="00A91DAB" w:rsidRDefault="00A91DAB" w:rsidP="0079493B">
      <w:pPr>
        <w:jc w:val="both"/>
      </w:pPr>
      <w:r>
        <w:t xml:space="preserve">1.6. Запрос цен проводится в соответствии с документацией по запросу цен, утвержденной генеральным директором ОАО "Чебоксарский речной порт" «24»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91DAB" w:rsidRDefault="00A91DAB" w:rsidP="0079493B">
      <w:pPr>
        <w:jc w:val="both"/>
      </w:pPr>
      <w:r>
        <w:t>1.7. Состав закупочной комиссии определен приказом Генерального директора                    ОАО "Чебоксарский речной порт" от «12» сентября 2012 года №189</w:t>
      </w:r>
      <w:r w:rsidRPr="00A3457D">
        <w:t xml:space="preserve"> в</w:t>
      </w:r>
      <w:r>
        <w:t xml:space="preserve"> количестве 7 (семи) человек.</w:t>
      </w:r>
    </w:p>
    <w:p w:rsidR="00A91DAB" w:rsidRDefault="00A91DAB" w:rsidP="0079493B">
      <w:pPr>
        <w:jc w:val="both"/>
      </w:pPr>
      <w:r>
        <w:t xml:space="preserve">            На заседании закупочной комиссии по рассмотрению заявок на участие в запросе цен присутствовали:</w:t>
      </w:r>
    </w:p>
    <w:p w:rsidR="00A91DAB" w:rsidRPr="00BC4C40" w:rsidRDefault="00A91DAB" w:rsidP="0079493B">
      <w:pPr>
        <w:jc w:val="both"/>
      </w:pPr>
      <w:r>
        <w:t xml:space="preserve">            </w:t>
      </w:r>
      <w:r w:rsidRPr="00BC4C40">
        <w:t xml:space="preserve">Председатель </w:t>
      </w:r>
      <w:r>
        <w:t>закупочной</w:t>
      </w:r>
      <w:r w:rsidRPr="00BC4C40">
        <w:t xml:space="preserve"> комиссии: Павлова Оксана Николаевна (заместитель генерального директора по экономике и финансам </w:t>
      </w:r>
      <w:r>
        <w:t>ОАО «Чебоксарский речной порт»).</w:t>
      </w:r>
    </w:p>
    <w:p w:rsidR="00A91DAB" w:rsidRPr="00121F43" w:rsidRDefault="00A91DAB" w:rsidP="0079493B">
      <w:pPr>
        <w:jc w:val="both"/>
      </w:pPr>
      <w:r>
        <w:t xml:space="preserve">           Члены закупочной комиссии: Денисов Анатолий Николаевич (заместитель генерального директора по техническому развитию ОАО «Чебоксарский речной порт» – заместитель председателя комиссии)</w:t>
      </w:r>
      <w:r w:rsidRPr="00BC4C40">
        <w:t>,</w:t>
      </w:r>
      <w:r>
        <w:t xml:space="preserve"> Козлов Анатолий Николаевич (заместитель генерального директора по производству ОАО «Чебоксарский речной порт»), Блинова Анжелика </w:t>
      </w:r>
      <w:r w:rsidRPr="00BC4C40">
        <w:t>Валентиновна (начальник юридической с</w:t>
      </w:r>
      <w:r w:rsidRPr="00121F43">
        <w:t>лужбы ОАО «Чебоксарский речной порт»</w:t>
      </w:r>
      <w:r>
        <w:t>), Шилова Татьяна Николаевна (главный экономист ОАО «Чебоксарский речной порт»), Анисимов Николай Владимирович (ведущий специалист по материально-техническому снабжению ОАО «Чебоксарский речной порт»),</w:t>
      </w:r>
      <w:r w:rsidRPr="00BC4C40">
        <w:t xml:space="preserve"> </w:t>
      </w:r>
      <w:r>
        <w:t>Попова Светлана Алексеевна (специалист по организации и проведению конкурсов (торгов) ОАО «Чебоксарский речной порт» - секретарь комиссии).</w:t>
      </w:r>
    </w:p>
    <w:p w:rsidR="00A91DAB" w:rsidRDefault="00A91DAB" w:rsidP="0079493B">
      <w:pPr>
        <w:jc w:val="both"/>
        <w:rPr>
          <w:bCs/>
        </w:rPr>
      </w:pPr>
      <w:r>
        <w:t xml:space="preserve">            В состав закупочной комиссии входит 7 членов. Заседание проводилось в присутствии 7 членов комиссии. Кворум имеется. Комиссия правомочна.</w:t>
      </w:r>
      <w:r>
        <w:rPr>
          <w:bCs/>
        </w:rPr>
        <w:t> </w:t>
      </w:r>
    </w:p>
    <w:p w:rsidR="00A91DAB" w:rsidRDefault="00A91DAB" w:rsidP="0079493B">
      <w:pPr>
        <w:jc w:val="both"/>
      </w:pPr>
      <w:r>
        <w:t xml:space="preserve">            Число членов закупочной комиссии, принимающих участие в заседании, соответствует определенному, утвержденного приказом генерального директора                     ОАО «Чебоксарский речной порт» от «12» сентября 2012г. </w:t>
      </w:r>
      <w:r w:rsidRPr="00A8268A">
        <w:t>№</w:t>
      </w:r>
      <w:r>
        <w:t xml:space="preserve"> 189, количественному составу закупочной комиссии, необходимому для проведения заседания.</w:t>
      </w:r>
    </w:p>
    <w:p w:rsidR="00A91DAB" w:rsidRDefault="00A91DAB" w:rsidP="0079493B">
      <w:pPr>
        <w:jc w:val="both"/>
      </w:pPr>
      <w:r>
        <w:t xml:space="preserve">            Кворум для проведения заседания закупочной комиссии имеется, комиссия правомочна.</w:t>
      </w:r>
    </w:p>
    <w:p w:rsidR="00A91DAB" w:rsidRPr="004216B8" w:rsidRDefault="00A91DAB" w:rsidP="0079493B">
      <w:pPr>
        <w:jc w:val="both"/>
        <w:rPr>
          <w:sz w:val="12"/>
          <w:szCs w:val="12"/>
        </w:rPr>
      </w:pPr>
      <w:r>
        <w:t xml:space="preserve"> </w:t>
      </w:r>
    </w:p>
    <w:p w:rsidR="00A91DAB" w:rsidRDefault="00A91DAB" w:rsidP="0079493B">
      <w:pPr>
        <w:jc w:val="both"/>
        <w:rPr>
          <w:b/>
        </w:rPr>
      </w:pPr>
      <w:r>
        <w:rPr>
          <w:b/>
        </w:rPr>
        <w:t xml:space="preserve">            </w:t>
      </w:r>
      <w:r w:rsidRPr="008E1710">
        <w:rPr>
          <w:b/>
        </w:rPr>
        <w:t>2. Место, дата, время начала проведения процедуры вскрытия конвертов с заявками на участие в</w:t>
      </w:r>
      <w:r>
        <w:rPr>
          <w:b/>
        </w:rPr>
        <w:t xml:space="preserve"> открытом запросе цен</w:t>
      </w:r>
      <w:r w:rsidRPr="008E1710">
        <w:rPr>
          <w:b/>
        </w:rPr>
        <w:t xml:space="preserve"> </w:t>
      </w:r>
    </w:p>
    <w:p w:rsidR="00A91DAB" w:rsidRDefault="00A91DAB" w:rsidP="0079493B">
      <w:pPr>
        <w:jc w:val="both"/>
      </w:pPr>
      <w:r>
        <w:t>2.1. Вскрытие конвертов с заявками на участие в запросе цен осуществлялось «01» февраля 2013 года в 10:00 (МСК)  по адресу: г. Чебоксары, пл. Речников, д.5, каб. 212, 2-й этаж.</w:t>
      </w:r>
    </w:p>
    <w:p w:rsidR="00A91DAB" w:rsidRPr="005A0452" w:rsidRDefault="00A91DAB" w:rsidP="0079493B">
      <w:pPr>
        <w:jc w:val="both"/>
      </w:pPr>
      <w:r>
        <w:t xml:space="preserve">2.2. Результаты вскрытия конвертов отражены в протоколе </w:t>
      </w:r>
      <w:r w:rsidRPr="005A0452">
        <w:t>вскрытия конвертов с заявками на участие в</w:t>
      </w:r>
      <w:r>
        <w:t xml:space="preserve"> открытом запросе цен на поставку деталей насосов гидроперегружателей и землесоса ПЗС-500.16 от «01»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  <w:p w:rsidR="00A91DAB" w:rsidRDefault="00A91DAB" w:rsidP="0079493B">
      <w:pPr>
        <w:jc w:val="both"/>
        <w:rPr>
          <w:b/>
        </w:rPr>
      </w:pPr>
      <w:r>
        <w:rPr>
          <w:b/>
        </w:rPr>
        <w:t xml:space="preserve">          </w:t>
      </w:r>
    </w:p>
    <w:p w:rsidR="00A91DAB" w:rsidRDefault="00A91DAB" w:rsidP="0079493B">
      <w:pPr>
        <w:jc w:val="both"/>
        <w:rPr>
          <w:b/>
        </w:rPr>
      </w:pPr>
      <w:r>
        <w:rPr>
          <w:b/>
        </w:rPr>
        <w:t xml:space="preserve">           </w:t>
      </w:r>
    </w:p>
    <w:p w:rsidR="00A91DAB" w:rsidRDefault="00A91DAB" w:rsidP="0079493B">
      <w:pPr>
        <w:jc w:val="both"/>
        <w:rPr>
          <w:b/>
        </w:rPr>
      </w:pPr>
      <w:r>
        <w:rPr>
          <w:b/>
        </w:rPr>
        <w:t xml:space="preserve">           </w:t>
      </w:r>
      <w:r w:rsidRPr="00EB45E3">
        <w:rPr>
          <w:b/>
        </w:rPr>
        <w:t>3. Место, дата проведения процедуры рассмотрения заявок на участие в</w:t>
      </w:r>
      <w:r>
        <w:rPr>
          <w:b/>
        </w:rPr>
        <w:t xml:space="preserve"> открытом</w:t>
      </w:r>
      <w:r w:rsidRPr="00EB45E3">
        <w:rPr>
          <w:b/>
        </w:rPr>
        <w:t xml:space="preserve"> </w:t>
      </w:r>
      <w:r>
        <w:rPr>
          <w:b/>
        </w:rPr>
        <w:t>запросе цен</w:t>
      </w:r>
      <w:r w:rsidRPr="00EB45E3">
        <w:rPr>
          <w:b/>
        </w:rPr>
        <w:t xml:space="preserve"> </w:t>
      </w:r>
    </w:p>
    <w:p w:rsidR="00A91DAB" w:rsidRDefault="00A91DAB" w:rsidP="0079493B">
      <w:pPr>
        <w:jc w:val="both"/>
      </w:pPr>
      <w:r>
        <w:t xml:space="preserve">3.1. Процедура рассмотрения заявок на участие в открытом запросе цен проводилась закупочной комиссией «01»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адресу: Чувашская Республика, г. Чебоксары, пл. Речников, д.5, каб.220, 2-й этаж.</w:t>
      </w:r>
    </w:p>
    <w:p w:rsidR="00A91DAB" w:rsidRPr="005C2EA5" w:rsidRDefault="00A91DAB" w:rsidP="0079493B">
      <w:pPr>
        <w:jc w:val="both"/>
        <w:rPr>
          <w:sz w:val="16"/>
          <w:szCs w:val="16"/>
        </w:rPr>
      </w:pPr>
    </w:p>
    <w:p w:rsidR="00A91DAB" w:rsidRDefault="00A91DAB" w:rsidP="0079493B">
      <w:pPr>
        <w:jc w:val="both"/>
        <w:rPr>
          <w:b/>
        </w:rPr>
      </w:pPr>
      <w:r>
        <w:rPr>
          <w:b/>
        </w:rPr>
        <w:t xml:space="preserve">           </w:t>
      </w:r>
      <w:r w:rsidRPr="00297484">
        <w:rPr>
          <w:b/>
        </w:rPr>
        <w:t xml:space="preserve">4. Процедура рассмотрения заявок на участие в </w:t>
      </w:r>
      <w:r>
        <w:rPr>
          <w:b/>
        </w:rPr>
        <w:t>открытом запросе цен</w:t>
      </w:r>
    </w:p>
    <w:p w:rsidR="00A91DAB" w:rsidRDefault="00A91DAB" w:rsidP="0079493B">
      <w:pPr>
        <w:jc w:val="both"/>
      </w:pPr>
      <w:r>
        <w:t xml:space="preserve">4.1. </w:t>
      </w:r>
      <w:r w:rsidRPr="0007147A">
        <w:t xml:space="preserve">На процедуру рассмотрения были предоставлены заявки на участие в </w:t>
      </w:r>
      <w:r>
        <w:t xml:space="preserve">запросе цен </w:t>
      </w:r>
      <w:r w:rsidRPr="0007147A">
        <w:t>от следующ</w:t>
      </w:r>
      <w:r>
        <w:t>их</w:t>
      </w:r>
      <w:r w:rsidRPr="0007147A">
        <w:t xml:space="preserve"> участник</w:t>
      </w:r>
      <w:r>
        <w:t>ов</w:t>
      </w:r>
      <w:r w:rsidRPr="0007147A">
        <w:t xml:space="preserve"> </w:t>
      </w:r>
      <w:r>
        <w:t>закупки</w:t>
      </w:r>
      <w:r w:rsidRPr="0007147A">
        <w:t>:</w:t>
      </w:r>
    </w:p>
    <w:tbl>
      <w:tblPr>
        <w:tblStyle w:val="TableGrid"/>
        <w:tblW w:w="0" w:type="auto"/>
        <w:tblLook w:val="01E0"/>
      </w:tblPr>
      <w:tblGrid>
        <w:gridCol w:w="531"/>
        <w:gridCol w:w="1740"/>
        <w:gridCol w:w="4317"/>
        <w:gridCol w:w="3266"/>
      </w:tblGrid>
      <w:tr w:rsidR="00A91DAB" w:rsidTr="0079493B">
        <w:tc>
          <w:tcPr>
            <w:tcW w:w="531" w:type="dxa"/>
            <w:vAlign w:val="center"/>
          </w:tcPr>
          <w:p w:rsidR="00A91DAB" w:rsidRPr="004A79B5" w:rsidRDefault="00A91DAB" w:rsidP="0079493B">
            <w:pPr>
              <w:jc w:val="center"/>
              <w:rPr>
                <w:sz w:val="20"/>
                <w:szCs w:val="20"/>
              </w:rPr>
            </w:pPr>
            <w:r w:rsidRPr="004A79B5">
              <w:rPr>
                <w:sz w:val="20"/>
                <w:szCs w:val="20"/>
              </w:rPr>
              <w:t>№ п/п</w:t>
            </w:r>
          </w:p>
        </w:tc>
        <w:tc>
          <w:tcPr>
            <w:tcW w:w="1740" w:type="dxa"/>
            <w:vAlign w:val="center"/>
          </w:tcPr>
          <w:p w:rsidR="00A91DAB" w:rsidRPr="004A79B5" w:rsidRDefault="00A91DAB" w:rsidP="0079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участника</w:t>
            </w:r>
          </w:p>
        </w:tc>
        <w:tc>
          <w:tcPr>
            <w:tcW w:w="4317" w:type="dxa"/>
            <w:vAlign w:val="center"/>
          </w:tcPr>
          <w:p w:rsidR="00A91DAB" w:rsidRPr="004A79B5" w:rsidRDefault="00A91DAB" w:rsidP="0079493B">
            <w:pPr>
              <w:jc w:val="center"/>
              <w:rPr>
                <w:sz w:val="20"/>
                <w:szCs w:val="20"/>
              </w:rPr>
            </w:pPr>
            <w:r w:rsidRPr="003900DB">
              <w:rPr>
                <w:sz w:val="20"/>
                <w:szCs w:val="20"/>
              </w:rPr>
              <w:t xml:space="preserve">Сведения об участнике </w:t>
            </w:r>
            <w:r>
              <w:rPr>
                <w:sz w:val="20"/>
                <w:szCs w:val="20"/>
              </w:rPr>
              <w:t>закупки</w:t>
            </w:r>
            <w:r w:rsidRPr="004A7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vAlign w:val="center"/>
          </w:tcPr>
          <w:p w:rsidR="00A91DAB" w:rsidRPr="004A79B5" w:rsidRDefault="00A91DAB" w:rsidP="0079493B">
            <w:pPr>
              <w:jc w:val="center"/>
              <w:rPr>
                <w:sz w:val="20"/>
                <w:szCs w:val="20"/>
              </w:rPr>
            </w:pPr>
            <w:r w:rsidRPr="004A79B5">
              <w:rPr>
                <w:sz w:val="20"/>
                <w:szCs w:val="20"/>
              </w:rPr>
              <w:t>Предложения в заявках</w:t>
            </w:r>
          </w:p>
        </w:tc>
      </w:tr>
      <w:tr w:rsidR="00A91DAB" w:rsidTr="0079493B">
        <w:tc>
          <w:tcPr>
            <w:tcW w:w="531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1.</w:t>
            </w:r>
          </w:p>
        </w:tc>
        <w:tc>
          <w:tcPr>
            <w:tcW w:w="174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№01</w:t>
            </w:r>
          </w:p>
        </w:tc>
        <w:tc>
          <w:tcPr>
            <w:tcW w:w="4317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ЗАО «Завод гидромеханизации»</w:t>
            </w:r>
          </w:p>
        </w:tc>
        <w:tc>
          <w:tcPr>
            <w:tcW w:w="3266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1.149.000</w:t>
            </w:r>
          </w:p>
        </w:tc>
      </w:tr>
      <w:tr w:rsidR="00A91DAB" w:rsidTr="0079493B">
        <w:tc>
          <w:tcPr>
            <w:tcW w:w="531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2.</w:t>
            </w:r>
          </w:p>
        </w:tc>
        <w:tc>
          <w:tcPr>
            <w:tcW w:w="174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№02</w:t>
            </w:r>
          </w:p>
        </w:tc>
        <w:tc>
          <w:tcPr>
            <w:tcW w:w="4317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ООО «Метмаш»</w:t>
            </w:r>
          </w:p>
        </w:tc>
        <w:tc>
          <w:tcPr>
            <w:tcW w:w="3266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877 707,60 рублей с НДС</w:t>
            </w:r>
          </w:p>
        </w:tc>
      </w:tr>
      <w:tr w:rsidR="00A91DAB" w:rsidTr="0079493B">
        <w:tc>
          <w:tcPr>
            <w:tcW w:w="531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3.</w:t>
            </w:r>
          </w:p>
        </w:tc>
        <w:tc>
          <w:tcPr>
            <w:tcW w:w="174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№03</w:t>
            </w:r>
          </w:p>
        </w:tc>
        <w:tc>
          <w:tcPr>
            <w:tcW w:w="4317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ООО «НПО Гольфстрим»</w:t>
            </w:r>
          </w:p>
        </w:tc>
        <w:tc>
          <w:tcPr>
            <w:tcW w:w="3266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1.090.870,00</w:t>
            </w:r>
          </w:p>
        </w:tc>
      </w:tr>
    </w:tbl>
    <w:p w:rsidR="00A91DAB" w:rsidRPr="0079493B" w:rsidRDefault="00A91DAB" w:rsidP="0079493B">
      <w:pPr>
        <w:keepNext/>
        <w:contextualSpacing/>
        <w:jc w:val="both"/>
        <w:rPr>
          <w:sz w:val="16"/>
          <w:szCs w:val="16"/>
        </w:rPr>
      </w:pPr>
    </w:p>
    <w:p w:rsidR="00A91DAB" w:rsidRPr="003D5DD3" w:rsidRDefault="00A91DAB" w:rsidP="0079493B">
      <w:pPr>
        <w:keepNext/>
        <w:contextualSpacing/>
        <w:jc w:val="both"/>
        <w:rPr>
          <w:sz w:val="16"/>
          <w:szCs w:val="16"/>
        </w:rPr>
      </w:pPr>
      <w:r>
        <w:t xml:space="preserve">4.2. </w:t>
      </w:r>
      <w:r w:rsidRPr="0007147A">
        <w:t xml:space="preserve">Комиссия рассмотрела заявки на участие в </w:t>
      </w:r>
      <w:r>
        <w:t>запросе цен</w:t>
      </w:r>
      <w:r w:rsidRPr="0007147A">
        <w:t xml:space="preserve"> в соответствии с требованиями и условиями, установленными в </w:t>
      </w:r>
      <w:r>
        <w:t>извещении</w:t>
      </w:r>
      <w:r w:rsidRPr="0007147A">
        <w:t xml:space="preserve">, и приняла следующие </w:t>
      </w:r>
      <w:r w:rsidRPr="005C2EA5">
        <w:t>решения:</w:t>
      </w:r>
    </w:p>
    <w:tbl>
      <w:tblPr>
        <w:tblpPr w:leftFromText="180" w:rightFromText="180" w:vertAnchor="text" w:horzAnchor="margin" w:tblpY="105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800"/>
        <w:gridCol w:w="1800"/>
      </w:tblGrid>
      <w:tr w:rsidR="00A91DAB" w:rsidTr="0079493B">
        <w:tc>
          <w:tcPr>
            <w:tcW w:w="1908" w:type="dxa"/>
            <w:vMerge w:val="restart"/>
            <w:vAlign w:val="center"/>
          </w:tcPr>
          <w:p w:rsidR="00A91DAB" w:rsidRPr="00E1007D" w:rsidRDefault="00A91DAB" w:rsidP="0079493B">
            <w:pPr>
              <w:jc w:val="center"/>
              <w:rPr>
                <w:sz w:val="20"/>
                <w:szCs w:val="20"/>
              </w:rPr>
            </w:pPr>
            <w:r w:rsidRPr="00E1007D">
              <w:rPr>
                <w:sz w:val="20"/>
                <w:szCs w:val="20"/>
              </w:rPr>
              <w:t>ФИО члена комиссии</w:t>
            </w:r>
          </w:p>
        </w:tc>
        <w:tc>
          <w:tcPr>
            <w:tcW w:w="5400" w:type="dxa"/>
            <w:gridSpan w:val="3"/>
            <w:vAlign w:val="center"/>
          </w:tcPr>
          <w:p w:rsidR="00A91DAB" w:rsidRPr="00E1007D" w:rsidRDefault="00A91DAB" w:rsidP="0079493B">
            <w:pPr>
              <w:jc w:val="center"/>
              <w:rPr>
                <w:sz w:val="20"/>
                <w:szCs w:val="20"/>
              </w:rPr>
            </w:pPr>
            <w:r w:rsidRPr="00E1007D">
              <w:rPr>
                <w:sz w:val="20"/>
                <w:szCs w:val="20"/>
              </w:rPr>
              <w:t>Сведения о решении члена комиссии</w:t>
            </w:r>
          </w:p>
        </w:tc>
      </w:tr>
      <w:tr w:rsidR="00A91DAB" w:rsidTr="0079493B">
        <w:trPr>
          <w:trHeight w:val="297"/>
        </w:trPr>
        <w:tc>
          <w:tcPr>
            <w:tcW w:w="1908" w:type="dxa"/>
            <w:vMerge/>
          </w:tcPr>
          <w:p w:rsidR="00A91DAB" w:rsidRPr="00E1007D" w:rsidRDefault="00A91DAB" w:rsidP="0079493B">
            <w:pPr>
              <w:jc w:val="both"/>
            </w:pP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Участник №01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Участник №02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Участник №03</w:t>
            </w:r>
          </w:p>
        </w:tc>
      </w:tr>
      <w:tr w:rsidR="00A91DAB" w:rsidTr="0079493B">
        <w:trPr>
          <w:trHeight w:val="168"/>
        </w:trPr>
        <w:tc>
          <w:tcPr>
            <w:tcW w:w="1908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Павлова О.Н.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</w:tr>
      <w:tr w:rsidR="00A91DAB" w:rsidTr="0079493B">
        <w:trPr>
          <w:trHeight w:val="263"/>
        </w:trPr>
        <w:tc>
          <w:tcPr>
            <w:tcW w:w="1908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Денисов А.Н.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</w:tr>
      <w:tr w:rsidR="00A91DAB" w:rsidTr="0079493B">
        <w:trPr>
          <w:trHeight w:val="263"/>
        </w:trPr>
        <w:tc>
          <w:tcPr>
            <w:tcW w:w="1908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А.Н.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</w:tr>
      <w:tr w:rsidR="00A91DAB" w:rsidTr="0079493B">
        <w:trPr>
          <w:trHeight w:val="257"/>
        </w:trPr>
        <w:tc>
          <w:tcPr>
            <w:tcW w:w="1908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Блинова А.В.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</w:tr>
      <w:tr w:rsidR="00A91DAB" w:rsidTr="0079493B">
        <w:trPr>
          <w:trHeight w:val="170"/>
        </w:trPr>
        <w:tc>
          <w:tcPr>
            <w:tcW w:w="1908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Шилова Т.Н.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</w:tr>
      <w:tr w:rsidR="00A91DAB" w:rsidTr="0079493B">
        <w:trPr>
          <w:trHeight w:val="279"/>
        </w:trPr>
        <w:tc>
          <w:tcPr>
            <w:tcW w:w="1908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Анисимов В.Н.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</w:tr>
      <w:tr w:rsidR="00A91DAB" w:rsidTr="0079493B">
        <w:trPr>
          <w:trHeight w:val="172"/>
        </w:trPr>
        <w:tc>
          <w:tcPr>
            <w:tcW w:w="1908" w:type="dxa"/>
            <w:vAlign w:val="center"/>
          </w:tcPr>
          <w:p w:rsidR="00A91DAB" w:rsidRPr="0079493B" w:rsidRDefault="00A91DAB" w:rsidP="0079493B">
            <w:pPr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Попова С.А.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  <w:tc>
          <w:tcPr>
            <w:tcW w:w="1800" w:type="dxa"/>
            <w:vAlign w:val="center"/>
          </w:tcPr>
          <w:p w:rsidR="00A91DAB" w:rsidRPr="0079493B" w:rsidRDefault="00A91DAB" w:rsidP="0079493B">
            <w:pPr>
              <w:jc w:val="center"/>
              <w:rPr>
                <w:sz w:val="22"/>
                <w:szCs w:val="22"/>
              </w:rPr>
            </w:pPr>
            <w:r w:rsidRPr="0079493B">
              <w:rPr>
                <w:sz w:val="22"/>
                <w:szCs w:val="22"/>
              </w:rPr>
              <w:t>Допущен</w:t>
            </w:r>
          </w:p>
        </w:tc>
      </w:tr>
    </w:tbl>
    <w:p w:rsidR="00A91DAB" w:rsidRDefault="00A91DAB" w:rsidP="0079493B">
      <w:pPr>
        <w:keepNext/>
        <w:spacing w:before="100" w:beforeAutospacing="1" w:after="100" w:afterAutospacing="1"/>
        <w:contextualSpacing/>
        <w:jc w:val="both"/>
        <w:rPr>
          <w:b/>
        </w:rPr>
      </w:pPr>
    </w:p>
    <w:p w:rsidR="00A91DAB" w:rsidRDefault="00A91DAB" w:rsidP="0079493B">
      <w:pPr>
        <w:keepNext/>
        <w:spacing w:before="100" w:beforeAutospacing="1" w:after="100" w:afterAutospacing="1"/>
        <w:contextualSpacing/>
        <w:jc w:val="both"/>
        <w:rPr>
          <w:b/>
        </w:rPr>
      </w:pPr>
    </w:p>
    <w:p w:rsidR="00A91DAB" w:rsidRDefault="00A91DAB" w:rsidP="0079493B">
      <w:pPr>
        <w:keepNext/>
        <w:spacing w:before="100" w:beforeAutospacing="1" w:after="100" w:afterAutospacing="1"/>
        <w:contextualSpacing/>
        <w:jc w:val="both"/>
        <w:rPr>
          <w:b/>
        </w:rPr>
      </w:pPr>
    </w:p>
    <w:p w:rsidR="00A91DAB" w:rsidRDefault="00A91DAB" w:rsidP="0079493B">
      <w:pPr>
        <w:keepNext/>
        <w:spacing w:before="100" w:beforeAutospacing="1" w:after="100" w:afterAutospacing="1"/>
        <w:contextualSpacing/>
        <w:jc w:val="both"/>
        <w:rPr>
          <w:b/>
        </w:rPr>
      </w:pPr>
    </w:p>
    <w:p w:rsidR="00A91DAB" w:rsidRDefault="00A91DAB" w:rsidP="0079493B">
      <w:pPr>
        <w:keepNext/>
        <w:spacing w:before="100" w:beforeAutospacing="1" w:after="100" w:afterAutospacing="1"/>
        <w:contextualSpacing/>
        <w:jc w:val="both"/>
        <w:rPr>
          <w:b/>
        </w:rPr>
      </w:pPr>
    </w:p>
    <w:p w:rsidR="00A91DAB" w:rsidRDefault="00A91DAB" w:rsidP="0079493B">
      <w:pPr>
        <w:keepNext/>
        <w:spacing w:before="100" w:beforeAutospacing="1" w:after="100" w:afterAutospacing="1"/>
        <w:contextualSpacing/>
        <w:jc w:val="both"/>
        <w:rPr>
          <w:b/>
        </w:rPr>
      </w:pPr>
    </w:p>
    <w:p w:rsidR="00A91DAB" w:rsidRDefault="00A91DAB" w:rsidP="0079493B">
      <w:pPr>
        <w:keepNext/>
        <w:spacing w:before="100" w:beforeAutospacing="1" w:after="100" w:afterAutospacing="1"/>
        <w:contextualSpacing/>
        <w:jc w:val="both"/>
        <w:rPr>
          <w:b/>
        </w:rPr>
      </w:pPr>
    </w:p>
    <w:p w:rsidR="00A91DAB" w:rsidRDefault="00A91DAB" w:rsidP="0079493B">
      <w:pPr>
        <w:keepNext/>
        <w:spacing w:before="100" w:beforeAutospacing="1" w:after="100" w:afterAutospacing="1"/>
        <w:contextualSpacing/>
        <w:jc w:val="both"/>
        <w:rPr>
          <w:b/>
        </w:rPr>
      </w:pPr>
    </w:p>
    <w:p w:rsidR="00A91DAB" w:rsidRDefault="00A91DAB" w:rsidP="0079493B">
      <w:pPr>
        <w:keepNext/>
        <w:spacing w:before="100" w:beforeAutospacing="1" w:after="100" w:afterAutospacing="1"/>
        <w:contextualSpacing/>
        <w:jc w:val="both"/>
        <w:rPr>
          <w:b/>
        </w:rPr>
      </w:pPr>
    </w:p>
    <w:p w:rsidR="00A91DAB" w:rsidRDefault="00A91DAB" w:rsidP="0079493B">
      <w:pPr>
        <w:keepNext/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  </w:t>
      </w:r>
      <w:r w:rsidRPr="00297484">
        <w:rPr>
          <w:b/>
        </w:rPr>
        <w:t xml:space="preserve">5. </w:t>
      </w:r>
      <w:r>
        <w:rPr>
          <w:b/>
        </w:rPr>
        <w:t xml:space="preserve"> </w:t>
      </w:r>
      <w:r w:rsidRPr="00297484">
        <w:rPr>
          <w:b/>
        </w:rPr>
        <w:t>Заключительные по</w:t>
      </w:r>
      <w:r>
        <w:rPr>
          <w:b/>
        </w:rPr>
        <w:t>ложения</w:t>
      </w:r>
    </w:p>
    <w:p w:rsidR="00A91DAB" w:rsidRPr="00C67351" w:rsidRDefault="00A91DAB" w:rsidP="0079493B">
      <w:pPr>
        <w:jc w:val="both"/>
        <w:rPr>
          <w:b/>
          <w:sz w:val="12"/>
          <w:szCs w:val="12"/>
        </w:rPr>
      </w:pPr>
    </w:p>
    <w:p w:rsidR="00A91DAB" w:rsidRDefault="00A91DAB" w:rsidP="0079493B">
      <w:pPr>
        <w:jc w:val="both"/>
        <w:rPr>
          <w:sz w:val="12"/>
          <w:szCs w:val="12"/>
        </w:rPr>
      </w:pPr>
      <w:r>
        <w:t xml:space="preserve">5.1. </w:t>
      </w:r>
      <w:r w:rsidRPr="004121B0">
        <w:t>Признать</w:t>
      </w:r>
      <w:r>
        <w:t xml:space="preserve"> Победителем открытого запроса цен на поставку деталей насосов гидроперегружателей и землесоса ПЗС-500.16 Участника №02 как допущенного участника настоящего запроса цен, предложившего наименьшую цену исполнения договора. </w:t>
      </w:r>
    </w:p>
    <w:p w:rsidR="00A91DAB" w:rsidRDefault="00A91DAB" w:rsidP="0079493B">
      <w:pPr>
        <w:jc w:val="both"/>
      </w:pPr>
      <w:r>
        <w:t xml:space="preserve">5.2. Протокол рассмотрения заявок на участие в открытом запросе цен размещается на официальном сайте </w:t>
      </w:r>
      <w:hyperlink r:id="rId7" w:history="1">
        <w:r w:rsidRPr="00092917">
          <w:rPr>
            <w:rStyle w:val="Hyperlink"/>
            <w:lang w:val="en-US"/>
          </w:rPr>
          <w:t>www</w:t>
        </w:r>
        <w:r w:rsidRPr="0054075B">
          <w:rPr>
            <w:rStyle w:val="Hyperlink"/>
          </w:rPr>
          <w:t>.</w:t>
        </w:r>
        <w:r w:rsidRPr="00092917">
          <w:rPr>
            <w:rStyle w:val="Hyperlink"/>
            <w:lang w:val="en-US"/>
          </w:rPr>
          <w:t>zakupki</w:t>
        </w:r>
        <w:r w:rsidRPr="0054075B">
          <w:rPr>
            <w:rStyle w:val="Hyperlink"/>
          </w:rPr>
          <w:t>.</w:t>
        </w:r>
        <w:r w:rsidRPr="00092917">
          <w:rPr>
            <w:rStyle w:val="Hyperlink"/>
            <w:lang w:val="en-US"/>
          </w:rPr>
          <w:t>gov</w:t>
        </w:r>
        <w:r w:rsidRPr="0054075B">
          <w:rPr>
            <w:rStyle w:val="Hyperlink"/>
          </w:rPr>
          <w:t>.</w:t>
        </w:r>
        <w:r w:rsidRPr="00092917">
          <w:rPr>
            <w:rStyle w:val="Hyperlink"/>
            <w:lang w:val="en-US"/>
          </w:rPr>
          <w:t>ru</w:t>
        </w:r>
      </w:hyperlink>
      <w:r w:rsidRPr="0054075B">
        <w:t xml:space="preserve"> </w:t>
      </w:r>
      <w:r>
        <w:t>и сайте</w:t>
      </w:r>
      <w:r w:rsidRPr="00D24FF1">
        <w:t xml:space="preserve"> </w:t>
      </w:r>
      <w:r>
        <w:t xml:space="preserve">ОАО «Чебоксарский речной порт» </w:t>
      </w:r>
      <w:hyperlink r:id="rId8" w:history="1">
        <w:r w:rsidRPr="004E26E1">
          <w:rPr>
            <w:rStyle w:val="Hyperlink"/>
            <w:lang w:val="en-US"/>
          </w:rPr>
          <w:t>www</w:t>
        </w:r>
        <w:r w:rsidRPr="004E26E1">
          <w:rPr>
            <w:rStyle w:val="Hyperlink"/>
          </w:rPr>
          <w:t>.</w:t>
        </w:r>
        <w:r w:rsidRPr="004E26E1">
          <w:rPr>
            <w:rStyle w:val="Hyperlink"/>
            <w:lang w:val="en-US"/>
          </w:rPr>
          <w:t>chport</w:t>
        </w:r>
        <w:r w:rsidRPr="004E26E1">
          <w:rPr>
            <w:rStyle w:val="Hyperlink"/>
          </w:rPr>
          <w:t>.</w:t>
        </w:r>
        <w:r w:rsidRPr="004E26E1">
          <w:rPr>
            <w:rStyle w:val="Hyperlink"/>
            <w:lang w:val="en-US"/>
          </w:rPr>
          <w:t>ru</w:t>
        </w:r>
      </w:hyperlink>
      <w:r>
        <w:t xml:space="preserve"> в течение 3 (трех) дней после его подписания.</w:t>
      </w:r>
    </w:p>
    <w:p w:rsidR="00A91DAB" w:rsidRDefault="00A91DAB" w:rsidP="0079493B">
      <w:pPr>
        <w:jc w:val="both"/>
      </w:pPr>
      <w:r>
        <w:t>5.3. Настоящий протокол подписан всеми присутствующими на заседании членами закупочной комиссии.</w:t>
      </w:r>
    </w:p>
    <w:p w:rsidR="00A91DAB" w:rsidRDefault="00A91DAB" w:rsidP="0079493B">
      <w:pPr>
        <w:jc w:val="both"/>
      </w:pPr>
    </w:p>
    <w:sectPr w:rsidR="00A91DAB" w:rsidSect="0079493B"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0F6"/>
    <w:multiLevelType w:val="hybridMultilevel"/>
    <w:tmpl w:val="FA52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87A"/>
    <w:rsid w:val="000007FF"/>
    <w:rsid w:val="00050190"/>
    <w:rsid w:val="0006447D"/>
    <w:rsid w:val="0007147A"/>
    <w:rsid w:val="00092917"/>
    <w:rsid w:val="000941E2"/>
    <w:rsid w:val="000B6E36"/>
    <w:rsid w:val="000D3F06"/>
    <w:rsid w:val="001039CB"/>
    <w:rsid w:val="00121F43"/>
    <w:rsid w:val="001235E6"/>
    <w:rsid w:val="00135FB3"/>
    <w:rsid w:val="00146C85"/>
    <w:rsid w:val="0015760F"/>
    <w:rsid w:val="00195C42"/>
    <w:rsid w:val="001B2A75"/>
    <w:rsid w:val="001C44B2"/>
    <w:rsid w:val="001D7F61"/>
    <w:rsid w:val="001F7CDE"/>
    <w:rsid w:val="00217091"/>
    <w:rsid w:val="002970B4"/>
    <w:rsid w:val="00297484"/>
    <w:rsid w:val="00297C28"/>
    <w:rsid w:val="00345221"/>
    <w:rsid w:val="003900DB"/>
    <w:rsid w:val="003B0DD6"/>
    <w:rsid w:val="003D5DD3"/>
    <w:rsid w:val="004007F4"/>
    <w:rsid w:val="004121B0"/>
    <w:rsid w:val="004216B8"/>
    <w:rsid w:val="0045179C"/>
    <w:rsid w:val="00476923"/>
    <w:rsid w:val="004A79B5"/>
    <w:rsid w:val="004E26E1"/>
    <w:rsid w:val="004F7D97"/>
    <w:rsid w:val="0052614E"/>
    <w:rsid w:val="0054075B"/>
    <w:rsid w:val="00544E3E"/>
    <w:rsid w:val="00571C79"/>
    <w:rsid w:val="005A0452"/>
    <w:rsid w:val="005A0920"/>
    <w:rsid w:val="005B7967"/>
    <w:rsid w:val="005C2EA5"/>
    <w:rsid w:val="005C7052"/>
    <w:rsid w:val="005D20E4"/>
    <w:rsid w:val="005E17BC"/>
    <w:rsid w:val="00602945"/>
    <w:rsid w:val="006041F6"/>
    <w:rsid w:val="00661275"/>
    <w:rsid w:val="00687439"/>
    <w:rsid w:val="006A6430"/>
    <w:rsid w:val="006B75F4"/>
    <w:rsid w:val="006D516A"/>
    <w:rsid w:val="0074587A"/>
    <w:rsid w:val="007764DA"/>
    <w:rsid w:val="0079493B"/>
    <w:rsid w:val="007B7B91"/>
    <w:rsid w:val="007D476F"/>
    <w:rsid w:val="00806838"/>
    <w:rsid w:val="00820134"/>
    <w:rsid w:val="00841567"/>
    <w:rsid w:val="00894CCA"/>
    <w:rsid w:val="008C5B26"/>
    <w:rsid w:val="008E1710"/>
    <w:rsid w:val="009069D7"/>
    <w:rsid w:val="00917472"/>
    <w:rsid w:val="00934F5A"/>
    <w:rsid w:val="00952402"/>
    <w:rsid w:val="009E598F"/>
    <w:rsid w:val="00A3457D"/>
    <w:rsid w:val="00A8268A"/>
    <w:rsid w:val="00A91DAB"/>
    <w:rsid w:val="00AA5825"/>
    <w:rsid w:val="00AE21D6"/>
    <w:rsid w:val="00B44B7C"/>
    <w:rsid w:val="00BA50C2"/>
    <w:rsid w:val="00BB127A"/>
    <w:rsid w:val="00BB46F7"/>
    <w:rsid w:val="00BB7F55"/>
    <w:rsid w:val="00BC3F35"/>
    <w:rsid w:val="00BC4C40"/>
    <w:rsid w:val="00C4289D"/>
    <w:rsid w:val="00C51CB5"/>
    <w:rsid w:val="00C5311F"/>
    <w:rsid w:val="00C63050"/>
    <w:rsid w:val="00C67351"/>
    <w:rsid w:val="00C7328B"/>
    <w:rsid w:val="00C84F8A"/>
    <w:rsid w:val="00C91D51"/>
    <w:rsid w:val="00C9229D"/>
    <w:rsid w:val="00CD76EB"/>
    <w:rsid w:val="00CD779C"/>
    <w:rsid w:val="00CE4C48"/>
    <w:rsid w:val="00CF6F38"/>
    <w:rsid w:val="00D00516"/>
    <w:rsid w:val="00D24FF1"/>
    <w:rsid w:val="00D61A47"/>
    <w:rsid w:val="00DA21CB"/>
    <w:rsid w:val="00DC56CE"/>
    <w:rsid w:val="00DF2A14"/>
    <w:rsid w:val="00E1007D"/>
    <w:rsid w:val="00E41F60"/>
    <w:rsid w:val="00E55270"/>
    <w:rsid w:val="00EB45E3"/>
    <w:rsid w:val="00EF131D"/>
    <w:rsid w:val="00F96FF6"/>
    <w:rsid w:val="00FC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87A"/>
    <w:rPr>
      <w:sz w:val="24"/>
      <w:szCs w:val="24"/>
    </w:rPr>
  </w:style>
  <w:style w:type="character" w:default="1" w:styleId="DefaultParagraphFont">
    <w:name w:val="Default Paragraph Font"/>
    <w:aliases w:val="Знак Знак1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587A"/>
    <w:rPr>
      <w:color w:val="0000FF"/>
      <w:u w:val="single"/>
    </w:rPr>
  </w:style>
  <w:style w:type="table" w:styleId="TableGrid">
    <w:name w:val="Table Grid"/>
    <w:basedOn w:val="TableNormal"/>
    <w:uiPriority w:val="59"/>
    <w:rsid w:val="0074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rsid w:val="0074587A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900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00DB"/>
    <w:rPr>
      <w:rFonts w:ascii="Tahoma" w:hAnsi="Tahoma"/>
      <w:sz w:val="16"/>
    </w:rPr>
  </w:style>
  <w:style w:type="paragraph" w:customStyle="1" w:styleId="a">
    <w:name w:val="Знак"/>
    <w:basedOn w:val="Normal"/>
    <w:rsid w:val="0021709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port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820</Words>
  <Characters>4678</Characters>
  <Application>Microsoft Office Outlook</Application>
  <DocSecurity>0</DocSecurity>
  <Lines>0</Lines>
  <Paragraphs>0</Paragraphs>
  <ScaleCrop>false</ScaleCrop>
  <Company>ОАО "Чебоксарский речной порт"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Калашникова</dc:creator>
  <cp:keywords/>
  <dc:description/>
  <cp:lastModifiedBy>ЕгороваМА</cp:lastModifiedBy>
  <cp:revision>9</cp:revision>
  <cp:lastPrinted>2013-02-04T06:58:00Z</cp:lastPrinted>
  <dcterms:created xsi:type="dcterms:W3CDTF">2012-11-06T13:39:00Z</dcterms:created>
  <dcterms:modified xsi:type="dcterms:W3CDTF">2013-02-04T12:09:00Z</dcterms:modified>
</cp:coreProperties>
</file>